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7566" w:rsidRPr="00AF7C17" w:rsidRDefault="006C3699" w:rsidP="00783464">
      <w:pPr>
        <w:pStyle w:val="Podtitul"/>
        <w:rPr>
          <w:sz w:val="24"/>
        </w:rPr>
      </w:pPr>
      <w:r w:rsidRPr="00AF7C17">
        <w:rPr>
          <w:sz w:val="24"/>
        </w:rPr>
        <w:t>Ministerstv</w:t>
      </w:r>
      <w:r w:rsidR="00A66CB5">
        <w:rPr>
          <w:sz w:val="24"/>
        </w:rPr>
        <w:t>o</w:t>
      </w:r>
      <w:r w:rsidRPr="00AF7C17">
        <w:rPr>
          <w:sz w:val="24"/>
        </w:rPr>
        <w:t xml:space="preserve"> hospodárstva</w:t>
      </w:r>
      <w:r w:rsidR="00783464" w:rsidRPr="00AF7C17">
        <w:rPr>
          <w:sz w:val="24"/>
        </w:rPr>
        <w:t xml:space="preserve"> </w:t>
      </w:r>
      <w:r w:rsidR="00C77566" w:rsidRPr="00AF7C17">
        <w:rPr>
          <w:sz w:val="24"/>
        </w:rPr>
        <w:t>Slovenskej republiky</w:t>
      </w:r>
    </w:p>
    <w:p w:rsidR="00FF6374" w:rsidRPr="00AF7C17" w:rsidRDefault="00FF6374" w:rsidP="00FF6374">
      <w:pPr>
        <w:jc w:val="both"/>
      </w:pPr>
      <w:r w:rsidRPr="00AF7C17">
        <w:t>––––––––––––––––––––––––––––––––––––</w:t>
      </w:r>
    </w:p>
    <w:p w:rsidR="00C77566" w:rsidRPr="00AF7C17" w:rsidRDefault="00C77566" w:rsidP="006A4C8D">
      <w:pPr>
        <w:tabs>
          <w:tab w:val="left" w:pos="7020"/>
        </w:tabs>
        <w:jc w:val="both"/>
      </w:pPr>
      <w:r w:rsidRPr="00AF7C17">
        <w:t>Č</w:t>
      </w:r>
      <w:r w:rsidR="0073587C" w:rsidRPr="00AF7C17">
        <w:t>íslo</w:t>
      </w:r>
      <w:r w:rsidRPr="00AF7C17">
        <w:t>:</w:t>
      </w:r>
      <w:r w:rsidR="00CE7070" w:rsidRPr="00AF7C17">
        <w:t xml:space="preserve"> </w:t>
      </w:r>
      <w:r w:rsidR="00FD002C" w:rsidRPr="00FD002C">
        <w:t>23637/2017-4130-36814</w:t>
      </w:r>
      <w:r w:rsidR="00FF6374" w:rsidRPr="00AF7C17">
        <w:tab/>
        <w:t>Číslo poradia:</w:t>
      </w:r>
    </w:p>
    <w:p w:rsidR="00C77566" w:rsidRPr="00AF7C17" w:rsidRDefault="00C77566" w:rsidP="006A4C8D">
      <w:pPr>
        <w:tabs>
          <w:tab w:val="left" w:pos="7020"/>
        </w:tabs>
        <w:jc w:val="both"/>
      </w:pPr>
    </w:p>
    <w:p w:rsidR="00C77566" w:rsidRPr="00AF7C17" w:rsidRDefault="00C77566" w:rsidP="006A4C8D">
      <w:pPr>
        <w:tabs>
          <w:tab w:val="left" w:pos="7020"/>
        </w:tabs>
        <w:jc w:val="both"/>
      </w:pPr>
    </w:p>
    <w:p w:rsidR="00FF6374" w:rsidRPr="00AF7C17" w:rsidRDefault="00C77566" w:rsidP="006A4C8D">
      <w:pPr>
        <w:tabs>
          <w:tab w:val="left" w:pos="7020"/>
        </w:tabs>
        <w:jc w:val="both"/>
      </w:pPr>
      <w:r w:rsidRPr="00AF7C17">
        <w:t xml:space="preserve">Materiál na </w:t>
      </w:r>
      <w:r w:rsidR="0073587C" w:rsidRPr="00AF7C17">
        <w:t>zasadnutie</w:t>
      </w:r>
      <w:r w:rsidRPr="00AF7C17">
        <w:rPr>
          <w:sz w:val="28"/>
        </w:rPr>
        <w:t xml:space="preserve"> </w:t>
      </w:r>
      <w:r w:rsidR="00FF6374" w:rsidRPr="00AF7C17">
        <w:rPr>
          <w:sz w:val="28"/>
        </w:rPr>
        <w:tab/>
      </w:r>
      <w:r w:rsidR="00FF6374" w:rsidRPr="00AF7C17">
        <w:t>Výtlačok číslo:</w:t>
      </w:r>
      <w:r w:rsidR="00EA3CB2" w:rsidRPr="00AF7C17">
        <w:t xml:space="preserve"> </w:t>
      </w:r>
      <w:r w:rsidR="00EC30F7" w:rsidRPr="00AF7C17">
        <w:t xml:space="preserve"> </w:t>
      </w:r>
    </w:p>
    <w:p w:rsidR="00C77566" w:rsidRPr="00AF7C17" w:rsidRDefault="0073587C" w:rsidP="006A4C8D">
      <w:pPr>
        <w:tabs>
          <w:tab w:val="left" w:pos="7020"/>
        </w:tabs>
        <w:jc w:val="both"/>
        <w:rPr>
          <w:sz w:val="28"/>
        </w:rPr>
      </w:pPr>
      <w:r w:rsidRPr="00AF7C17">
        <w:t>Bezpečnostnej rady SR</w:t>
      </w:r>
      <w:r w:rsidR="00FF6374" w:rsidRPr="00AF7C17">
        <w:tab/>
        <w:t xml:space="preserve">Počet listov: </w:t>
      </w:r>
    </w:p>
    <w:p w:rsidR="00C77566" w:rsidRPr="00AF7C17" w:rsidRDefault="00C77566" w:rsidP="00FF6374">
      <w:pPr>
        <w:tabs>
          <w:tab w:val="left" w:pos="6480"/>
          <w:tab w:val="left" w:pos="6521"/>
        </w:tabs>
        <w:jc w:val="both"/>
      </w:pPr>
    </w:p>
    <w:p w:rsidR="00C77566" w:rsidRPr="00AF7C17" w:rsidRDefault="00C77566" w:rsidP="00C77566">
      <w:pPr>
        <w:jc w:val="both"/>
      </w:pPr>
    </w:p>
    <w:p w:rsidR="00E907C2" w:rsidRPr="00AF7C17" w:rsidRDefault="00E907C2" w:rsidP="00C77566">
      <w:pPr>
        <w:jc w:val="both"/>
      </w:pPr>
    </w:p>
    <w:p w:rsidR="00C77566" w:rsidRPr="00AF7C17" w:rsidRDefault="00C77566" w:rsidP="00C77566">
      <w:pPr>
        <w:jc w:val="both"/>
      </w:pPr>
    </w:p>
    <w:p w:rsidR="00C77566" w:rsidRPr="00AF7C17" w:rsidRDefault="00C77566" w:rsidP="00C77566">
      <w:pPr>
        <w:jc w:val="both"/>
      </w:pPr>
    </w:p>
    <w:p w:rsidR="00C77566" w:rsidRPr="00AF7C17" w:rsidRDefault="00C77566" w:rsidP="00C77566">
      <w:pPr>
        <w:pStyle w:val="Nadpis2"/>
        <w:rPr>
          <w:b w:val="0"/>
        </w:rPr>
      </w:pPr>
      <w:r w:rsidRPr="00AF7C17">
        <w:rPr>
          <w:b w:val="0"/>
        </w:rPr>
        <w:t>Návrh</w:t>
      </w:r>
    </w:p>
    <w:p w:rsidR="00FF6374" w:rsidRPr="00AF7C17" w:rsidRDefault="00FF6374" w:rsidP="006A4C8D">
      <w:pPr>
        <w:jc w:val="center"/>
      </w:pPr>
    </w:p>
    <w:p w:rsidR="00C77566" w:rsidRPr="00AF7C17" w:rsidRDefault="00FE1163" w:rsidP="00FE1163">
      <w:pPr>
        <w:jc w:val="center"/>
        <w:rPr>
          <w:b/>
          <w:bCs/>
          <w:sz w:val="28"/>
        </w:rPr>
      </w:pPr>
      <w:r w:rsidRPr="00FE1163">
        <w:rPr>
          <w:b/>
          <w:bCs/>
          <w:sz w:val="28"/>
        </w:rPr>
        <w:t>Správa</w:t>
      </w:r>
      <w:r>
        <w:rPr>
          <w:b/>
          <w:bCs/>
          <w:sz w:val="28"/>
        </w:rPr>
        <w:t xml:space="preserve"> </w:t>
      </w:r>
      <w:r w:rsidRPr="00FE1163">
        <w:rPr>
          <w:b/>
          <w:bCs/>
          <w:sz w:val="28"/>
        </w:rPr>
        <w:t xml:space="preserve">o výsledkoch monitorovania bezpečnosti dodávok </w:t>
      </w:r>
      <w:r w:rsidR="00A66CB5">
        <w:rPr>
          <w:b/>
          <w:bCs/>
          <w:sz w:val="28"/>
        </w:rPr>
        <w:t>elektriny za      rok 201</w:t>
      </w:r>
      <w:r w:rsidR="00FD002C">
        <w:rPr>
          <w:b/>
          <w:bCs/>
          <w:sz w:val="28"/>
        </w:rPr>
        <w:t>6</w:t>
      </w:r>
    </w:p>
    <w:p w:rsidR="0073587C" w:rsidRPr="00AF7C17" w:rsidRDefault="0073587C" w:rsidP="0073587C">
      <w:pPr>
        <w:pStyle w:val="Zarkazkladnhotextu1"/>
        <w:ind w:firstLine="0"/>
        <w:jc w:val="center"/>
        <w:rPr>
          <w:b/>
          <w:bCs/>
          <w:sz w:val="28"/>
          <w:szCs w:val="28"/>
        </w:rPr>
      </w:pPr>
      <w:r w:rsidRPr="00AF7C17">
        <w:rPr>
          <w:b/>
          <w:bCs/>
          <w:sz w:val="28"/>
          <w:szCs w:val="28"/>
        </w:rPr>
        <w:t>________________________________________________________________</w:t>
      </w:r>
    </w:p>
    <w:p w:rsidR="0073587C" w:rsidRPr="00AF7C17" w:rsidRDefault="0073587C" w:rsidP="006A4C8D">
      <w:pPr>
        <w:jc w:val="center"/>
        <w:rPr>
          <w:b/>
          <w:bCs/>
          <w:sz w:val="28"/>
        </w:rPr>
      </w:pPr>
    </w:p>
    <w:p w:rsidR="00C77566" w:rsidRPr="00AF7C17" w:rsidRDefault="00C77566" w:rsidP="00C77566">
      <w:pPr>
        <w:jc w:val="both"/>
        <w:rPr>
          <w:sz w:val="28"/>
        </w:rPr>
      </w:pPr>
    </w:p>
    <w:p w:rsidR="00C77566" w:rsidRPr="00AF7C17" w:rsidRDefault="00C77566" w:rsidP="00C77566">
      <w:pPr>
        <w:jc w:val="both"/>
        <w:rPr>
          <w:sz w:val="28"/>
        </w:rPr>
      </w:pPr>
    </w:p>
    <w:p w:rsidR="00C77566" w:rsidRPr="00AF7C17" w:rsidRDefault="00C15720" w:rsidP="00C77566">
      <w:pPr>
        <w:jc w:val="both"/>
        <w:rPr>
          <w:sz w:val="28"/>
        </w:rPr>
      </w:pPr>
      <w:r>
        <w:rPr>
          <w:noProof/>
          <w:sz w:val="20"/>
          <w:lang w:eastAsia="sk-SK"/>
        </w:rPr>
        <mc:AlternateContent>
          <mc:Choice Requires="wps">
            <w:drawing>
              <wp:anchor distT="0" distB="0" distL="114300" distR="114300" simplePos="0" relativeHeight="251655168" behindDoc="0" locked="0" layoutInCell="1" allowOverlap="1">
                <wp:simplePos x="0" y="0"/>
                <wp:positionH relativeFrom="column">
                  <wp:posOffset>3124200</wp:posOffset>
                </wp:positionH>
                <wp:positionV relativeFrom="paragraph">
                  <wp:posOffset>59690</wp:posOffset>
                </wp:positionV>
                <wp:extent cx="2985770" cy="2176145"/>
                <wp:effectExtent l="0" t="2540" r="0" b="254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2176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E65C9" w:rsidRDefault="00AE65C9" w:rsidP="00C77566"/>
                          <w:p w:rsidR="00AE65C9" w:rsidRPr="009600C8" w:rsidRDefault="00AE65C9" w:rsidP="00C77566">
                            <w:pPr>
                              <w:rPr>
                                <w:bCs/>
                                <w:u w:val="single"/>
                              </w:rPr>
                            </w:pPr>
                            <w:r w:rsidRPr="009600C8">
                              <w:rPr>
                                <w:bCs/>
                                <w:u w:val="single"/>
                              </w:rPr>
                              <w:t>Obsah materiálu:</w:t>
                            </w:r>
                          </w:p>
                          <w:p w:rsidR="00AE65C9" w:rsidRDefault="00AE65C9" w:rsidP="0073587C">
                            <w:pPr>
                              <w:tabs>
                                <w:tab w:val="left" w:pos="284"/>
                              </w:tabs>
                              <w:jc w:val="both"/>
                            </w:pPr>
                          </w:p>
                          <w:p w:rsidR="00AE65C9" w:rsidRDefault="00AE65C9" w:rsidP="0073587C">
                            <w:pPr>
                              <w:tabs>
                                <w:tab w:val="left" w:pos="284"/>
                              </w:tabs>
                              <w:jc w:val="both"/>
                            </w:pPr>
                            <w:r>
                              <w:t>1.</w:t>
                            </w:r>
                            <w:r>
                              <w:tab/>
                              <w:t>Návrh uznesenia BR SR</w:t>
                            </w:r>
                          </w:p>
                          <w:p w:rsidR="00AE65C9" w:rsidRDefault="00AE65C9" w:rsidP="0073587C">
                            <w:pPr>
                              <w:tabs>
                                <w:tab w:val="left" w:pos="284"/>
                              </w:tabs>
                              <w:jc w:val="both"/>
                            </w:pPr>
                            <w:r>
                              <w:t>2.</w:t>
                            </w:r>
                            <w:r>
                              <w:tab/>
                              <w:t>Predkladacia správa</w:t>
                            </w:r>
                          </w:p>
                          <w:p w:rsidR="00AE65C9" w:rsidRDefault="00AE65C9" w:rsidP="00A66CB5">
                            <w:pPr>
                              <w:tabs>
                                <w:tab w:val="left" w:pos="284"/>
                              </w:tabs>
                              <w:ind w:left="284" w:hanging="284"/>
                            </w:pPr>
                            <w:r>
                              <w:t>3.</w:t>
                            </w:r>
                            <w:r>
                              <w:tab/>
                              <w:t>Správa o výsledkoch monitorovania bezpečnosti dodávok elektriny za rok 2016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6pt;margin-top:4.7pt;width:235.1pt;height:171.3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" stroked="f">
                <v:textbox>
                  <w:txbxContent>
                    <w:p w:rsidR="00AE65C9" w:rsidRDefault="00AE65C9" w:rsidP="00C77566"/>
                    <w:p w:rsidR="00AE65C9" w:rsidRPr="009600C8" w:rsidRDefault="00AE65C9" w:rsidP="00C77566">
                      <w:pPr>
                        <w:rPr>
                          <w:bCs/>
                          <w:u w:val="single"/>
                        </w:rPr>
                      </w:pPr>
                      <w:r w:rsidRPr="009600C8">
                        <w:rPr>
                          <w:bCs/>
                          <w:u w:val="single"/>
                        </w:rPr>
                        <w:t>Obsah materiálu:</w:t>
                      </w:r>
                    </w:p>
                    <w:p w:rsidR="00AE65C9" w:rsidRDefault="00AE65C9" w:rsidP="0073587C">
                      <w:pPr>
                        <w:tabs>
                          <w:tab w:val="left" w:pos="284"/>
                        </w:tabs>
                        <w:jc w:val="both"/>
                      </w:pPr>
                    </w:p>
                    <w:p w:rsidR="00AE65C9" w:rsidRDefault="00AE65C9" w:rsidP="0073587C">
                      <w:pPr>
                        <w:tabs>
                          <w:tab w:val="left" w:pos="284"/>
                        </w:tabs>
                        <w:jc w:val="both"/>
                      </w:pPr>
                      <w:r>
                        <w:t>1.</w:t>
                      </w:r>
                      <w:r>
                        <w:tab/>
                        <w:t>Návrh uznesenia BR SR</w:t>
                      </w:r>
                    </w:p>
                    <w:p w:rsidR="00AE65C9" w:rsidRDefault="00AE65C9" w:rsidP="0073587C">
                      <w:pPr>
                        <w:tabs>
                          <w:tab w:val="left" w:pos="284"/>
                        </w:tabs>
                        <w:jc w:val="both"/>
                      </w:pPr>
                      <w:r>
                        <w:t>2.</w:t>
                      </w:r>
                      <w:r>
                        <w:tab/>
                        <w:t>Predkladacia správa</w:t>
                      </w:r>
                    </w:p>
                    <w:p w:rsidR="00AE65C9" w:rsidRDefault="00AE65C9" w:rsidP="00A66CB5">
                      <w:pPr>
                        <w:tabs>
                          <w:tab w:val="left" w:pos="284"/>
                        </w:tabs>
                        <w:ind w:left="284" w:hanging="284"/>
                      </w:pPr>
                      <w:r>
                        <w:t>3.</w:t>
                      </w:r>
                      <w:r>
                        <w:tab/>
                        <w:t>Správa o výsledkoch monitorovania bezpečnosti dodávok elektriny za rok 2016</w:t>
                      </w:r>
                    </w:p>
                  </w:txbxContent>
                </v:textbox>
              </v:shape>
            </w:pict>
          </mc:Fallback>
        </mc:AlternateContent>
      </w:r>
      <w:r>
        <w:rPr>
          <w:noProof/>
          <w:lang w:eastAsia="sk-SK"/>
        </w:rPr>
        <mc:AlternateContent>
          <mc:Choice Requires="wps">
            <w:drawing>
              <wp:anchor distT="0" distB="0" distL="114300" distR="114300" simplePos="0" relativeHeight="251656192" behindDoc="0" locked="0" layoutInCell="1" allowOverlap="1">
                <wp:simplePos x="0" y="0"/>
                <wp:positionH relativeFrom="column">
                  <wp:posOffset>-100330</wp:posOffset>
                </wp:positionH>
                <wp:positionV relativeFrom="paragraph">
                  <wp:posOffset>84455</wp:posOffset>
                </wp:positionV>
                <wp:extent cx="2590800" cy="1579880"/>
                <wp:effectExtent l="4445" t="0" r="0" b="2540"/>
                <wp:wrapNone/>
                <wp:docPr id="2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157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E65C9" w:rsidRDefault="00AE65C9" w:rsidP="00C77566">
                            <w:pPr>
                              <w:rPr>
                                <w:bCs/>
                                <w:u w:val="single"/>
                              </w:rPr>
                            </w:pPr>
                          </w:p>
                          <w:p w:rsidR="00AE65C9" w:rsidRPr="009600C8" w:rsidRDefault="00AE65C9" w:rsidP="00C77566">
                            <w:pPr>
                              <w:rPr>
                                <w:bCs/>
                                <w:u w:val="single"/>
                              </w:rPr>
                            </w:pPr>
                            <w:r w:rsidRPr="009600C8">
                              <w:rPr>
                                <w:bCs/>
                                <w:u w:val="single"/>
                              </w:rPr>
                              <w:t>Podnet:</w:t>
                            </w:r>
                          </w:p>
                          <w:p w:rsidR="00AE65C9" w:rsidRDefault="00AE65C9" w:rsidP="00C77566"/>
                          <w:p w:rsidR="00AE65C9" w:rsidRDefault="00AE65C9" w:rsidP="005424E6">
                            <w:pPr>
                              <w:jc w:val="both"/>
                            </w:pPr>
                            <w:r>
                              <w:t>Plán práce Výboru Bezpečnostnej rady Slovenskej republiky pre energetickú bezpečnosť na rok 2017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7.9pt;margin-top:6.65pt;width:204pt;height:124.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" stroked="f">
                <v:textbox>
                  <w:txbxContent>
                    <w:p w:rsidR="00AE65C9" w:rsidRDefault="00AE65C9" w:rsidP="00C77566">
                      <w:pPr>
                        <w:rPr>
                          <w:bCs/>
                          <w:u w:val="single"/>
                        </w:rPr>
                      </w:pPr>
                    </w:p>
                    <w:p w:rsidR="00AE65C9" w:rsidRPr="009600C8" w:rsidRDefault="00AE65C9" w:rsidP="00C77566">
                      <w:pPr>
                        <w:rPr>
                          <w:bCs/>
                          <w:u w:val="single"/>
                        </w:rPr>
                      </w:pPr>
                      <w:r w:rsidRPr="009600C8">
                        <w:rPr>
                          <w:bCs/>
                          <w:u w:val="single"/>
                        </w:rPr>
                        <w:t>Podnet:</w:t>
                      </w:r>
                    </w:p>
                    <w:p w:rsidR="00AE65C9" w:rsidRDefault="00AE65C9" w:rsidP="00C77566"/>
                    <w:p w:rsidR="00AE65C9" w:rsidRDefault="00AE65C9" w:rsidP="005424E6">
                      <w:pPr>
                        <w:jc w:val="both"/>
                      </w:pPr>
                      <w:r>
                        <w:t>Plán práce Výboru Bezpečnostnej rady Slovenskej republiky pre energetickú bezpečnosť na rok 2017</w:t>
                      </w:r>
                    </w:p>
                  </w:txbxContent>
                </v:textbox>
              </v:shape>
            </w:pict>
          </mc:Fallback>
        </mc:AlternateContent>
      </w:r>
      <w:r w:rsidR="00C77566" w:rsidRPr="00AF7C17">
        <w:rPr>
          <w:sz w:val="28"/>
        </w:rPr>
        <w:t xml:space="preserve">             </w:t>
      </w:r>
    </w:p>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C77566" w:rsidRPr="00AF7C17" w:rsidRDefault="00C77566" w:rsidP="00C77566"/>
    <w:p w:rsidR="002D5ADE" w:rsidRPr="00AF7C17" w:rsidRDefault="002D5ADE" w:rsidP="00C77566"/>
    <w:p w:rsidR="006A4C8D" w:rsidRDefault="006A4C8D" w:rsidP="00C77566"/>
    <w:p w:rsidR="00EA3CB2" w:rsidRPr="00AF7C17" w:rsidRDefault="00EA3CB2" w:rsidP="00C77566"/>
    <w:p w:rsidR="00EA3CB2" w:rsidRPr="00AF7C17" w:rsidRDefault="00EA3CB2" w:rsidP="00C77566"/>
    <w:p w:rsidR="00C77566" w:rsidRDefault="00C77566" w:rsidP="00C77566"/>
    <w:p w:rsidR="00FE1163" w:rsidRPr="00AF7C17" w:rsidRDefault="00FE1163" w:rsidP="00C77566"/>
    <w:p w:rsidR="00C77566" w:rsidRPr="00AF7C17" w:rsidRDefault="00C77566" w:rsidP="00C77566"/>
    <w:p w:rsidR="00C77566" w:rsidRPr="00AF7C17" w:rsidRDefault="00C77566" w:rsidP="00C77566">
      <w:r w:rsidRPr="00AF7C17">
        <w:rPr>
          <w:b/>
          <w:bCs/>
          <w:u w:val="single"/>
        </w:rPr>
        <w:t>Predkladá:</w:t>
      </w:r>
    </w:p>
    <w:p w:rsidR="00C77566" w:rsidRPr="00AF7C17" w:rsidRDefault="00C77566" w:rsidP="00C77566"/>
    <w:p w:rsidR="00043DCE" w:rsidRPr="00AF7C17" w:rsidRDefault="007E1470" w:rsidP="00C77566">
      <w:r>
        <w:t>Pet</w:t>
      </w:r>
      <w:r w:rsidR="00A66CB5">
        <w:t>er</w:t>
      </w:r>
      <w:r>
        <w:t xml:space="preserve"> Žiga</w:t>
      </w:r>
    </w:p>
    <w:p w:rsidR="00E907C2" w:rsidRPr="00AF7C17" w:rsidRDefault="00E907C2" w:rsidP="00E907C2">
      <w:pPr>
        <w:autoSpaceDE w:val="0"/>
        <w:autoSpaceDN w:val="0"/>
        <w:jc w:val="both"/>
      </w:pPr>
      <w:r w:rsidRPr="00AF7C17">
        <w:t>minister hospodárstva</w:t>
      </w:r>
    </w:p>
    <w:p w:rsidR="00E907C2" w:rsidRPr="00AF7C17" w:rsidRDefault="00E907C2" w:rsidP="00E907C2">
      <w:pPr>
        <w:autoSpaceDE w:val="0"/>
        <w:autoSpaceDN w:val="0"/>
        <w:jc w:val="both"/>
      </w:pPr>
      <w:r w:rsidRPr="00AF7C17">
        <w:t>Slovenskej republiky</w:t>
      </w:r>
    </w:p>
    <w:p w:rsidR="00C77566" w:rsidRPr="00AF7C17" w:rsidRDefault="00C77566" w:rsidP="00C77566"/>
    <w:p w:rsidR="00EA3CB2" w:rsidRPr="00AF7C17" w:rsidRDefault="00EA3CB2" w:rsidP="00C77566"/>
    <w:p w:rsidR="00C77566" w:rsidRPr="00AF7C17" w:rsidRDefault="00C77566" w:rsidP="00C77566">
      <w:pPr>
        <w:jc w:val="center"/>
      </w:pPr>
      <w:r w:rsidRPr="00AF7C17">
        <w:t>Bratislava</w:t>
      </w:r>
      <w:r w:rsidR="00034F7E" w:rsidRPr="00AF7C17">
        <w:t>,</w:t>
      </w:r>
      <w:r w:rsidR="00450380" w:rsidRPr="00AF7C17">
        <w:t xml:space="preserve"> </w:t>
      </w:r>
      <w:r w:rsidR="00A66CB5">
        <w:t>2</w:t>
      </w:r>
      <w:r w:rsidR="00FD002C">
        <w:t>3</w:t>
      </w:r>
      <w:r w:rsidR="00783464" w:rsidRPr="00AF7C17">
        <w:t>.</w:t>
      </w:r>
      <w:r w:rsidR="00E822E2" w:rsidRPr="00AF7C17">
        <w:t xml:space="preserve"> </w:t>
      </w:r>
      <w:r w:rsidR="007E1470">
        <w:t>august</w:t>
      </w:r>
      <w:r w:rsidR="00C4008D" w:rsidRPr="00AF7C17">
        <w:t xml:space="preserve"> </w:t>
      </w:r>
      <w:r w:rsidRPr="00AF7C17">
        <w:t>2</w:t>
      </w:r>
      <w:r w:rsidR="0054598A" w:rsidRPr="00AF7C17">
        <w:t>01</w:t>
      </w:r>
      <w:r w:rsidR="00FD002C">
        <w:t>7</w:t>
      </w:r>
    </w:p>
    <w:p w:rsidR="000F31CE" w:rsidRPr="00AF7C17" w:rsidRDefault="00AE65C9" w:rsidP="000F31CE">
      <w:pPr>
        <w:jc w:val="center"/>
        <w:rPr>
          <w:sz w:val="28"/>
        </w:rPr>
      </w:pPr>
      <w:r>
        <w:rPr>
          <w:b/>
          <w:bCs/>
          <w:noProof/>
          <w:sz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198.4pt;margin-top:30.7pt;width:55.2pt;height:63pt;z-index:251658240;visibility:visible;mso-wrap-edited:f">
            <v:imagedata r:id="rId9" o:title=""/>
            <w10:wrap type="topAndBottom"/>
          </v:shape>
          <o:OLEObject Type="Embed" ProgID="Word.Picture.8" ShapeID="_x0000_s1033" DrawAspect="Content" ObjectID="_1565158768" r:id="rId10"/>
        </w:pict>
      </w:r>
      <w:r w:rsidR="000F31CE" w:rsidRPr="00AF7C17">
        <w:rPr>
          <w:sz w:val="28"/>
        </w:rPr>
        <w:t>BEZPEČNOSTNÁ RADA SLOVENSKEJ REPUBLIKY</w:t>
      </w:r>
    </w:p>
    <w:p w:rsidR="000F31CE" w:rsidRPr="00AF7C17" w:rsidRDefault="000F31CE" w:rsidP="000F31CE">
      <w:pPr>
        <w:rPr>
          <w:lang w:eastAsia="sk-SK"/>
        </w:rPr>
      </w:pPr>
    </w:p>
    <w:p w:rsidR="000F31CE" w:rsidRPr="00AF7C17" w:rsidRDefault="000F31CE" w:rsidP="000F31CE">
      <w:pPr>
        <w:jc w:val="center"/>
        <w:rPr>
          <w:lang w:eastAsia="sk-SK"/>
        </w:rPr>
      </w:pPr>
    </w:p>
    <w:p w:rsidR="000F31CE" w:rsidRPr="00AF7C17" w:rsidRDefault="000F31CE" w:rsidP="000F31CE">
      <w:pPr>
        <w:ind w:firstLine="3969"/>
        <w:rPr>
          <w:lang w:eastAsia="sk-SK"/>
        </w:rPr>
      </w:pPr>
      <w:r w:rsidRPr="00AF7C17">
        <w:rPr>
          <w:lang w:eastAsia="sk-SK"/>
        </w:rPr>
        <w:t>N Á V R H</w:t>
      </w:r>
    </w:p>
    <w:p w:rsidR="000F31CE" w:rsidRPr="00AF7C17" w:rsidRDefault="000F31CE" w:rsidP="000F31CE">
      <w:pPr>
        <w:jc w:val="center"/>
        <w:rPr>
          <w:lang w:eastAsia="sk-SK"/>
        </w:rPr>
      </w:pPr>
    </w:p>
    <w:p w:rsidR="000F31CE" w:rsidRPr="00AF7C17" w:rsidRDefault="000F31CE" w:rsidP="000F31CE">
      <w:pPr>
        <w:keepNext/>
        <w:jc w:val="center"/>
        <w:outlineLvl w:val="4"/>
        <w:rPr>
          <w:sz w:val="28"/>
          <w:lang w:eastAsia="sk-SK"/>
        </w:rPr>
      </w:pPr>
      <w:r w:rsidRPr="00AF7C17">
        <w:rPr>
          <w:sz w:val="28"/>
          <w:lang w:eastAsia="sk-SK"/>
        </w:rPr>
        <w:t>UZNESENIE BEZPEČNOSTNEJ RADY SLOVENSKEJ REPUBLIKY</w:t>
      </w:r>
    </w:p>
    <w:p w:rsidR="000F31CE" w:rsidRPr="00AF7C17" w:rsidRDefault="000F31CE" w:rsidP="000F31CE">
      <w:pPr>
        <w:keepNext/>
        <w:jc w:val="center"/>
        <w:outlineLvl w:val="4"/>
        <w:rPr>
          <w:sz w:val="28"/>
          <w:lang w:eastAsia="sk-SK"/>
        </w:rPr>
      </w:pPr>
    </w:p>
    <w:p w:rsidR="000F31CE" w:rsidRPr="00AF7C17" w:rsidRDefault="000F31CE" w:rsidP="000F31CE">
      <w:pPr>
        <w:spacing w:before="60"/>
        <w:jc w:val="center"/>
        <w:rPr>
          <w:sz w:val="28"/>
        </w:rPr>
      </w:pPr>
    </w:p>
    <w:p w:rsidR="000F31CE" w:rsidRPr="00AF7C17" w:rsidRDefault="000F31CE" w:rsidP="000F31CE">
      <w:pPr>
        <w:spacing w:before="60"/>
        <w:jc w:val="center"/>
        <w:rPr>
          <w:sz w:val="28"/>
        </w:rPr>
      </w:pPr>
      <w:r w:rsidRPr="00AF7C17">
        <w:rPr>
          <w:sz w:val="28"/>
        </w:rPr>
        <w:t>č. ...</w:t>
      </w:r>
    </w:p>
    <w:p w:rsidR="000F31CE" w:rsidRPr="00AF7C17" w:rsidRDefault="000F31CE" w:rsidP="000F31CE">
      <w:pPr>
        <w:spacing w:before="60"/>
        <w:jc w:val="center"/>
      </w:pPr>
      <w:r w:rsidRPr="00AF7C17">
        <w:t>z </w:t>
      </w:r>
      <w:r w:rsidR="00FD002C">
        <w:t xml:space="preserve">  </w:t>
      </w:r>
      <w:r w:rsidRPr="00AF7C17">
        <w:t>201</w:t>
      </w:r>
      <w:r w:rsidR="00FD002C">
        <w:t>7</w:t>
      </w:r>
    </w:p>
    <w:p w:rsidR="000F31CE" w:rsidRPr="00AF7C17" w:rsidRDefault="000F31CE" w:rsidP="000F31CE">
      <w:pPr>
        <w:rPr>
          <w:lang w:eastAsia="sk-SK"/>
        </w:rPr>
      </w:pPr>
    </w:p>
    <w:p w:rsidR="000F31CE" w:rsidRPr="00AF7C17" w:rsidRDefault="000F31CE" w:rsidP="000F31CE">
      <w:pPr>
        <w:spacing w:before="120" w:after="120"/>
        <w:jc w:val="center"/>
        <w:rPr>
          <w:b/>
          <w:bCs/>
          <w:lang w:eastAsia="sk-SK"/>
        </w:rPr>
      </w:pPr>
      <w:r w:rsidRPr="00AF7C17">
        <w:rPr>
          <w:b/>
          <w:bCs/>
          <w:lang w:eastAsia="sk-SK"/>
        </w:rPr>
        <w:t xml:space="preserve"> </w:t>
      </w:r>
    </w:p>
    <w:p w:rsidR="000F31CE" w:rsidRPr="00AF7C17" w:rsidRDefault="000F31CE" w:rsidP="00FE1163">
      <w:pPr>
        <w:keepNext/>
        <w:jc w:val="center"/>
        <w:outlineLvl w:val="1"/>
        <w:rPr>
          <w:b/>
          <w:bCs/>
          <w:lang w:eastAsia="sk-SK"/>
        </w:rPr>
      </w:pPr>
      <w:r w:rsidRPr="00AF7C17">
        <w:rPr>
          <w:bCs/>
          <w:lang w:eastAsia="sk-SK"/>
        </w:rPr>
        <w:t xml:space="preserve">k materiálu </w:t>
      </w:r>
      <w:r w:rsidR="00FE1163" w:rsidRPr="00FE1163">
        <w:rPr>
          <w:b/>
          <w:bCs/>
          <w:lang w:eastAsia="sk-SK"/>
        </w:rPr>
        <w:t>Správa</w:t>
      </w:r>
      <w:r w:rsidR="00FE1163">
        <w:rPr>
          <w:b/>
          <w:bCs/>
          <w:lang w:eastAsia="sk-SK"/>
        </w:rPr>
        <w:t xml:space="preserve"> </w:t>
      </w:r>
      <w:r w:rsidR="00FE1163" w:rsidRPr="00FE1163">
        <w:rPr>
          <w:b/>
          <w:bCs/>
          <w:lang w:eastAsia="sk-SK"/>
        </w:rPr>
        <w:t xml:space="preserve">o výsledkoch monitorovania bezpečnosti dodávok </w:t>
      </w:r>
      <w:r w:rsidR="00A66CB5">
        <w:rPr>
          <w:b/>
          <w:bCs/>
          <w:lang w:eastAsia="sk-SK"/>
        </w:rPr>
        <w:t>elektriny</w:t>
      </w:r>
      <w:r w:rsidR="00CC6A18">
        <w:rPr>
          <w:b/>
          <w:bCs/>
          <w:lang w:eastAsia="sk-SK"/>
        </w:rPr>
        <w:t xml:space="preserve">         za rok 201</w:t>
      </w:r>
      <w:r w:rsidR="00FD002C">
        <w:rPr>
          <w:b/>
          <w:bCs/>
          <w:lang w:eastAsia="sk-SK"/>
        </w:rPr>
        <w:t>6</w:t>
      </w:r>
    </w:p>
    <w:p w:rsidR="000F31CE" w:rsidRPr="00AF7C17" w:rsidRDefault="000F31CE" w:rsidP="000F31CE">
      <w:pPr>
        <w:spacing w:before="120" w:after="120"/>
        <w:ind w:left="360" w:hanging="360"/>
        <w:jc w:val="both"/>
        <w:rPr>
          <w:lang w:eastAsia="sk-SK"/>
        </w:rPr>
      </w:pPr>
    </w:p>
    <w:p w:rsidR="000F31CE" w:rsidRPr="00AF7C17" w:rsidRDefault="000F31CE" w:rsidP="000F31CE">
      <w:pPr>
        <w:tabs>
          <w:tab w:val="left" w:pos="1980"/>
        </w:tabs>
        <w:spacing w:before="120" w:after="120"/>
        <w:ind w:left="360" w:hanging="360"/>
        <w:jc w:val="both"/>
        <w:rPr>
          <w:lang w:eastAsia="sk-SK"/>
        </w:rPr>
      </w:pPr>
      <w:r w:rsidRPr="00AF7C17">
        <w:rPr>
          <w:lang w:eastAsia="sk-SK"/>
        </w:rPr>
        <w:t>Číslo materiálu:</w:t>
      </w:r>
      <w:r w:rsidR="00C33B8B">
        <w:rPr>
          <w:lang w:eastAsia="sk-SK"/>
        </w:rPr>
        <w:t xml:space="preserve"> </w:t>
      </w:r>
    </w:p>
    <w:p w:rsidR="000F31CE" w:rsidRPr="00AF7C17" w:rsidRDefault="00C15720" w:rsidP="000F31CE">
      <w:pPr>
        <w:tabs>
          <w:tab w:val="left" w:pos="1980"/>
        </w:tabs>
        <w:spacing w:before="120" w:after="120"/>
        <w:ind w:left="1980" w:hanging="1980"/>
        <w:jc w:val="both"/>
        <w:rPr>
          <w:lang w:eastAsia="sk-SK"/>
        </w:rPr>
      </w:pPr>
      <w:r>
        <w:rPr>
          <w:noProof/>
          <w:sz w:val="20"/>
          <w:lang w:eastAsia="sk-SK"/>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362585</wp:posOffset>
                </wp:positionV>
                <wp:extent cx="5638800" cy="0"/>
                <wp:effectExtent l="9525" t="10160" r="9525" b="8890"/>
                <wp:wrapNone/>
                <wp:docPr id="2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3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8.55pt" to="444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"/>
            </w:pict>
          </mc:Fallback>
        </mc:AlternateContent>
      </w:r>
      <w:r w:rsidR="000F31CE" w:rsidRPr="00AF7C17">
        <w:rPr>
          <w:lang w:eastAsia="sk-SK"/>
        </w:rPr>
        <w:t>Predkladateľ:</w:t>
      </w:r>
      <w:r w:rsidR="00C33B8B">
        <w:rPr>
          <w:lang w:eastAsia="sk-SK"/>
        </w:rPr>
        <w:t xml:space="preserve"> minister hospodárstva</w:t>
      </w:r>
      <w:r w:rsidR="000F31CE" w:rsidRPr="00AF7C17">
        <w:rPr>
          <w:lang w:eastAsia="sk-SK"/>
        </w:rPr>
        <w:tab/>
        <w:t xml:space="preserve"> </w:t>
      </w:r>
    </w:p>
    <w:p w:rsidR="000F31CE" w:rsidRPr="00AF7C17" w:rsidRDefault="000F31CE" w:rsidP="000F31CE">
      <w:pPr>
        <w:ind w:left="357" w:hanging="357"/>
        <w:jc w:val="both"/>
        <w:rPr>
          <w:lang w:eastAsia="sk-SK"/>
        </w:rPr>
      </w:pPr>
    </w:p>
    <w:p w:rsidR="000F31CE" w:rsidRPr="00AF7C17" w:rsidRDefault="000F31CE" w:rsidP="000F31CE">
      <w:pPr>
        <w:ind w:left="357" w:hanging="357"/>
        <w:jc w:val="both"/>
        <w:rPr>
          <w:lang w:eastAsia="sk-SK"/>
        </w:rPr>
      </w:pPr>
    </w:p>
    <w:p w:rsidR="000F31CE" w:rsidRPr="00AF7C17" w:rsidRDefault="000F31CE" w:rsidP="000F31CE">
      <w:pPr>
        <w:ind w:left="357" w:hanging="357"/>
        <w:jc w:val="both"/>
        <w:rPr>
          <w:lang w:eastAsia="sk-SK"/>
        </w:rPr>
      </w:pPr>
    </w:p>
    <w:p w:rsidR="00304C67" w:rsidRPr="000110A6" w:rsidRDefault="00304C67" w:rsidP="00304C67">
      <w:pPr>
        <w:rPr>
          <w:b/>
          <w:bCs/>
        </w:rPr>
      </w:pPr>
      <w:r w:rsidRPr="000110A6">
        <w:rPr>
          <w:b/>
          <w:bCs/>
        </w:rPr>
        <w:t xml:space="preserve">Bezpečnostná rada </w:t>
      </w:r>
    </w:p>
    <w:p w:rsidR="00304C67" w:rsidRPr="000110A6" w:rsidRDefault="00304C67" w:rsidP="00304C67"/>
    <w:p w:rsidR="00304C67" w:rsidRPr="000110A6" w:rsidRDefault="00304C67" w:rsidP="00304C67"/>
    <w:p w:rsidR="00304C67" w:rsidRPr="000110A6" w:rsidRDefault="00304C67" w:rsidP="00304C67">
      <w:pPr>
        <w:rPr>
          <w:b/>
          <w:bCs/>
        </w:rPr>
      </w:pPr>
      <w:r w:rsidRPr="000110A6">
        <w:rPr>
          <w:b/>
          <w:bCs/>
        </w:rPr>
        <w:t>I. s</w:t>
      </w:r>
      <w:r>
        <w:rPr>
          <w:b/>
          <w:bCs/>
        </w:rPr>
        <w:t>úhlasí</w:t>
      </w:r>
      <w:r w:rsidRPr="000110A6">
        <w:rPr>
          <w:b/>
          <w:bCs/>
        </w:rPr>
        <w:t xml:space="preserve"> </w:t>
      </w:r>
    </w:p>
    <w:p w:rsidR="00304C67" w:rsidRPr="000110A6" w:rsidRDefault="00304C67" w:rsidP="00304C67"/>
    <w:p w:rsidR="00304C67" w:rsidRDefault="00304C67" w:rsidP="00304C67">
      <w:pPr>
        <w:ind w:firstLine="708"/>
      </w:pPr>
      <w:r>
        <w:t xml:space="preserve">so </w:t>
      </w:r>
      <w:r w:rsidRPr="00304C67">
        <w:t>Správ</w:t>
      </w:r>
      <w:r w:rsidR="00FD002C">
        <w:t>ou</w:t>
      </w:r>
      <w:r w:rsidRPr="00304C67">
        <w:t xml:space="preserve"> o výsledkoch monitorovania bezpečnosti dodávok elektriny za rok 201</w:t>
      </w:r>
      <w:r w:rsidR="00FD002C">
        <w:t>6</w:t>
      </w:r>
      <w:r>
        <w:t>;</w:t>
      </w:r>
    </w:p>
    <w:p w:rsidR="00304C67" w:rsidRDefault="00304C67" w:rsidP="00304C67"/>
    <w:p w:rsidR="00454BBD" w:rsidRDefault="00454BBD" w:rsidP="00C77566"/>
    <w:p w:rsidR="00304C67" w:rsidRDefault="00304C67" w:rsidP="00C77566"/>
    <w:p w:rsidR="00304C67" w:rsidRDefault="00304C67" w:rsidP="00C77566"/>
    <w:p w:rsidR="00304C67" w:rsidRDefault="00304C67" w:rsidP="00C77566"/>
    <w:p w:rsidR="00304C67" w:rsidRDefault="00304C67" w:rsidP="00C77566"/>
    <w:p w:rsidR="00304C67" w:rsidRDefault="00304C67" w:rsidP="00C77566"/>
    <w:p w:rsidR="00304C67" w:rsidRDefault="00304C67" w:rsidP="00C77566"/>
    <w:p w:rsidR="00304C67" w:rsidRPr="00AF7C17" w:rsidRDefault="00304C67" w:rsidP="00C77566"/>
    <w:p w:rsidR="0043113C" w:rsidRPr="00AF7C17" w:rsidRDefault="0043113C" w:rsidP="00C77566"/>
    <w:p w:rsidR="00454BBD" w:rsidRPr="00AF7C17" w:rsidRDefault="00454BBD" w:rsidP="00C77566"/>
    <w:p w:rsidR="00454BBD" w:rsidRPr="00AF7C17" w:rsidRDefault="00454BBD" w:rsidP="00C77566"/>
    <w:p w:rsidR="00454BBD" w:rsidRDefault="00454BBD" w:rsidP="00C77566"/>
    <w:p w:rsidR="00FE1163" w:rsidRDefault="00FE1163" w:rsidP="00C77566"/>
    <w:p w:rsidR="00FE1163" w:rsidRPr="00AF7C17" w:rsidRDefault="00FE1163" w:rsidP="00C77566"/>
    <w:p w:rsidR="00C77566" w:rsidRPr="00AF7C17" w:rsidRDefault="00C77566" w:rsidP="00C77566"/>
    <w:p w:rsidR="00102024" w:rsidRPr="00AF7C17" w:rsidRDefault="00102024" w:rsidP="00102024">
      <w:pPr>
        <w:jc w:val="center"/>
        <w:outlineLvl w:val="0"/>
        <w:rPr>
          <w:b/>
          <w:bCs/>
        </w:rPr>
      </w:pPr>
      <w:r w:rsidRPr="00AF7C17">
        <w:rPr>
          <w:b/>
          <w:bCs/>
        </w:rPr>
        <w:lastRenderedPageBreak/>
        <w:t>Predkladacia správa</w:t>
      </w:r>
    </w:p>
    <w:p w:rsidR="00102024" w:rsidRPr="00AF7C17" w:rsidRDefault="00102024" w:rsidP="00102024">
      <w:pPr>
        <w:pStyle w:val="Zkladntext"/>
        <w:rPr>
          <w:lang w:val="sk-SK"/>
        </w:rPr>
      </w:pPr>
    </w:p>
    <w:p w:rsidR="00CA68E6" w:rsidRPr="00AF7C17" w:rsidRDefault="007E1470" w:rsidP="00A66CB5">
      <w:pPr>
        <w:pStyle w:val="Zkladntext"/>
        <w:ind w:firstLine="703"/>
        <w:rPr>
          <w:b w:val="0"/>
          <w:lang w:val="sk-SK"/>
        </w:rPr>
      </w:pPr>
      <w:r>
        <w:rPr>
          <w:b w:val="0"/>
          <w:lang w:val="sk-SK"/>
        </w:rPr>
        <w:t>Na základe schváleného p</w:t>
      </w:r>
      <w:r w:rsidR="00CA68E6" w:rsidRPr="00AF7C17">
        <w:rPr>
          <w:b w:val="0"/>
          <w:lang w:val="sk-SK"/>
        </w:rPr>
        <w:t>lán</w:t>
      </w:r>
      <w:r>
        <w:rPr>
          <w:b w:val="0"/>
          <w:lang w:val="sk-SK"/>
        </w:rPr>
        <w:t>u</w:t>
      </w:r>
      <w:r w:rsidR="00CA68E6" w:rsidRPr="00AF7C17">
        <w:rPr>
          <w:b w:val="0"/>
          <w:lang w:val="sk-SK"/>
        </w:rPr>
        <w:t xml:space="preserve"> práce Výboru Bezpečnostnej rady Slovenskej republiky pre energetickú bezpečnosť na rok 201</w:t>
      </w:r>
      <w:r w:rsidR="00E71603">
        <w:rPr>
          <w:b w:val="0"/>
          <w:lang w:val="sk-SK"/>
        </w:rPr>
        <w:t>7</w:t>
      </w:r>
      <w:r w:rsidR="00CA68E6" w:rsidRPr="00AF7C17">
        <w:rPr>
          <w:b w:val="0"/>
          <w:lang w:val="sk-SK"/>
        </w:rPr>
        <w:t xml:space="preserve"> </w:t>
      </w:r>
      <w:r>
        <w:rPr>
          <w:b w:val="0"/>
          <w:lang w:val="sk-SK"/>
        </w:rPr>
        <w:t>a </w:t>
      </w:r>
      <w:r w:rsidR="00FE1163" w:rsidRPr="00FE1163">
        <w:rPr>
          <w:b w:val="0"/>
          <w:lang w:val="sk-SK"/>
        </w:rPr>
        <w:t>na základe ustanovenia § 88 ods. 2 písm. j) a ods. 1</w:t>
      </w:r>
      <w:r w:rsidR="002D4CA5">
        <w:rPr>
          <w:b w:val="0"/>
          <w:lang w:val="sk-SK"/>
        </w:rPr>
        <w:t>0</w:t>
      </w:r>
      <w:r w:rsidR="00FE1163" w:rsidRPr="00FE1163">
        <w:rPr>
          <w:b w:val="0"/>
          <w:lang w:val="sk-SK"/>
        </w:rPr>
        <w:t xml:space="preserve"> zákona č. 251/2012 Z. z. o energetike a o zmene a doplnení niektorých zákonov v</w:t>
      </w:r>
      <w:r w:rsidR="00FE1163">
        <w:rPr>
          <w:b w:val="0"/>
          <w:lang w:val="sk-SK"/>
        </w:rPr>
        <w:t> </w:t>
      </w:r>
      <w:r w:rsidR="00FE1163" w:rsidRPr="00FE1163">
        <w:rPr>
          <w:b w:val="0"/>
          <w:lang w:val="sk-SK"/>
        </w:rPr>
        <w:t>znení</w:t>
      </w:r>
      <w:r w:rsidR="00FE1163">
        <w:rPr>
          <w:b w:val="0"/>
          <w:lang w:val="sk-SK"/>
        </w:rPr>
        <w:t xml:space="preserve"> </w:t>
      </w:r>
      <w:r w:rsidR="00FE1163" w:rsidRPr="00FE1163">
        <w:rPr>
          <w:b w:val="0"/>
          <w:lang w:val="sk-SK"/>
        </w:rPr>
        <w:t>neskorších predpisov</w:t>
      </w:r>
      <w:r w:rsidR="00FE1163">
        <w:rPr>
          <w:b w:val="0"/>
          <w:lang w:val="sk-SK"/>
        </w:rPr>
        <w:t>,</w:t>
      </w:r>
      <w:r>
        <w:rPr>
          <w:b w:val="0"/>
          <w:lang w:val="sk-SK"/>
        </w:rPr>
        <w:t xml:space="preserve"> </w:t>
      </w:r>
      <w:r w:rsidR="00FE1163">
        <w:rPr>
          <w:b w:val="0"/>
          <w:lang w:val="sk-SK"/>
        </w:rPr>
        <w:t xml:space="preserve">ktoré ukladá Ministerstvu hospodárstva Slovenskej republiky uverejniť každoročne do 31. júla správu o výsledkoch monitorovania bezpečnosti dodávok </w:t>
      </w:r>
      <w:r w:rsidR="002D4CA5">
        <w:rPr>
          <w:b w:val="0"/>
          <w:lang w:val="sk-SK"/>
        </w:rPr>
        <w:t>elektriny,</w:t>
      </w:r>
      <w:r w:rsidR="00FE1163">
        <w:rPr>
          <w:b w:val="0"/>
          <w:lang w:val="sk-SK"/>
        </w:rPr>
        <w:t xml:space="preserve"> </w:t>
      </w:r>
      <w:r>
        <w:rPr>
          <w:b w:val="0"/>
          <w:lang w:val="sk-SK"/>
        </w:rPr>
        <w:t>predkladáme na rokovanie Bezpečnostnej rady Slovenskej republiky predmetný materiál.</w:t>
      </w:r>
    </w:p>
    <w:p w:rsidR="00520B1C" w:rsidRDefault="006D48CC" w:rsidP="0038254B">
      <w:pPr>
        <w:pStyle w:val="Zkladntext"/>
        <w:ind w:firstLine="703"/>
        <w:rPr>
          <w:b w:val="0"/>
          <w:lang w:val="sk-SK"/>
        </w:rPr>
      </w:pPr>
      <w:r w:rsidRPr="00AF7C17">
        <w:rPr>
          <w:b w:val="0"/>
          <w:lang w:val="sk-SK"/>
        </w:rPr>
        <w:tab/>
      </w:r>
      <w:r w:rsidR="007E1470" w:rsidRPr="007E1470">
        <w:rPr>
          <w:b w:val="0"/>
          <w:lang w:val="sk-SK"/>
        </w:rPr>
        <w:t xml:space="preserve">Správa </w:t>
      </w:r>
      <w:r w:rsidR="0038254B" w:rsidRPr="0038254B">
        <w:rPr>
          <w:b w:val="0"/>
          <w:lang w:val="sk-SK"/>
        </w:rPr>
        <w:t>je pripravená na základe podkladov prevádzkovateľa prenos</w:t>
      </w:r>
      <w:r w:rsidR="0038254B">
        <w:rPr>
          <w:b w:val="0"/>
          <w:lang w:val="sk-SK"/>
        </w:rPr>
        <w:t>ovej sústavy</w:t>
      </w:r>
      <w:r w:rsidR="0038254B" w:rsidRPr="0038254B">
        <w:rPr>
          <w:b w:val="0"/>
          <w:lang w:val="sk-SK"/>
        </w:rPr>
        <w:t xml:space="preserve"> spoločnosti SEPS, a.s. </w:t>
      </w:r>
      <w:r w:rsidR="00002D79">
        <w:rPr>
          <w:b w:val="0"/>
          <w:lang w:val="sk-SK"/>
        </w:rPr>
        <w:t>a </w:t>
      </w:r>
      <w:r w:rsidR="0038254B" w:rsidRPr="0038254B">
        <w:rPr>
          <w:b w:val="0"/>
          <w:lang w:val="sk-SK"/>
        </w:rPr>
        <w:t>obsahuje</w:t>
      </w:r>
      <w:r w:rsidR="00002D79">
        <w:rPr>
          <w:b w:val="0"/>
          <w:lang w:val="sk-SK"/>
        </w:rPr>
        <w:t>:</w:t>
      </w:r>
      <w:r w:rsidR="0038254B" w:rsidRPr="0038254B">
        <w:rPr>
          <w:b w:val="0"/>
          <w:lang w:val="sk-SK"/>
        </w:rPr>
        <w:t xml:space="preserve"> zhodnotenie vývoja a súčasného stavu bilancie spotreby a výroby elektriny, štruktúry zdrojovej základne, predpoklad vývoja zásobovania elektrinou na nasledujúcich 5 rokov a perspektívy zabezpečenia dodávok elektriny na obdobie 5 až 15 rokov, rozvojové zámery prevádzkovateľa prenosovej sústavy, zabezpečenie bezpečnosti a spoľahlivosti elektrizačnej sústavy SR vrátane opatrení na krytie špičkového dopytu a riešenie výpadkov, kvality prenosu a úrovne údržby sústavy. Monitorovacia správa obsahuje aj úlohy orgánov štátnej správy vo vzťahu k bezpečnosti dodávky elektriny podľa platnej legislatívy SR.</w:t>
      </w:r>
    </w:p>
    <w:p w:rsidR="00AE65C9" w:rsidRDefault="00AE65C9" w:rsidP="0038254B">
      <w:pPr>
        <w:pStyle w:val="Zkladntext"/>
        <w:ind w:firstLine="703"/>
        <w:rPr>
          <w:b w:val="0"/>
          <w:lang w:val="sk-SK"/>
        </w:rPr>
      </w:pPr>
      <w:bookmarkStart w:id="0" w:name="_GoBack"/>
      <w:r>
        <w:rPr>
          <w:b w:val="0"/>
          <w:lang w:val="sk-SK"/>
        </w:rPr>
        <w:t>Materiál bol prerokovaný vo Výbore Bezpečnostnej rady Slovenskej republiky pre energetickú bezpečnosť na zasadnutí, ktoré sa uskutočnilo dňa 22. augusta 2017.</w:t>
      </w:r>
    </w:p>
    <w:bookmarkEnd w:id="0"/>
    <w:p w:rsidR="00AE65C9" w:rsidRDefault="00AE65C9" w:rsidP="0038254B">
      <w:pPr>
        <w:pStyle w:val="Zkladntext"/>
        <w:ind w:firstLine="703"/>
        <w:rPr>
          <w:b w:val="0"/>
          <w:lang w:val="sk-SK"/>
        </w:rPr>
        <w:sectPr w:rsidR="00AE65C9" w:rsidSect="007E1470">
          <w:headerReference w:type="even" r:id="rId11"/>
          <w:pgSz w:w="11907" w:h="16839" w:code="9"/>
          <w:pgMar w:top="1418" w:right="1418" w:bottom="1418" w:left="1418" w:header="709" w:footer="709" w:gutter="0"/>
          <w:cols w:space="708"/>
          <w:docGrid w:linePitch="360"/>
        </w:sectPr>
      </w:pPr>
    </w:p>
    <w:bookmarkStart w:id="1" w:name="_Toc454801590" w:displacedByCustomXml="next"/>
    <w:sdt>
      <w:sdtPr>
        <w:rPr>
          <w:rFonts w:ascii="Arial" w:eastAsia="Calibri" w:hAnsi="Arial"/>
          <w:b/>
          <w:caps/>
          <w:noProof/>
          <w:color w:val="000000"/>
          <w:lang w:eastAsia="en-US"/>
        </w:rPr>
        <w:id w:val="1794863370"/>
        <w:docPartObj>
          <w:docPartGallery w:val="Table of Contents"/>
          <w:docPartUnique/>
        </w:docPartObj>
      </w:sdtPr>
      <w:sdtEndPr>
        <w:rPr>
          <w:rFonts w:cs="Arial"/>
          <w:caps w:val="0"/>
        </w:rPr>
      </w:sdtEndPr>
      <w:sdtContent>
        <w:p w:rsidR="00E71603" w:rsidRPr="00E71603" w:rsidRDefault="00E71603" w:rsidP="00E71603">
          <w:pPr>
            <w:keepNext/>
            <w:keepLines/>
            <w:spacing w:before="240" w:after="240" w:line="276" w:lineRule="auto"/>
            <w:jc w:val="both"/>
            <w:rPr>
              <w:b/>
              <w:caps/>
              <w:color w:val="000000"/>
              <w:sz w:val="28"/>
              <w:szCs w:val="28"/>
              <w:lang w:eastAsia="sk-SK"/>
            </w:rPr>
          </w:pPr>
          <w:r w:rsidRPr="00E71603">
            <w:rPr>
              <w:b/>
              <w:caps/>
              <w:color w:val="000000"/>
              <w:sz w:val="28"/>
              <w:szCs w:val="28"/>
              <w:lang w:eastAsia="sk-SK"/>
            </w:rPr>
            <w:t>Obsah</w:t>
          </w:r>
          <w:bookmarkEnd w:id="1"/>
        </w:p>
        <w:p w:rsidR="00E71603" w:rsidRPr="0028282D" w:rsidRDefault="00E71603" w:rsidP="00E71603">
          <w:pPr>
            <w:spacing w:after="120" w:line="276" w:lineRule="auto"/>
            <w:jc w:val="both"/>
            <w:rPr>
              <w:rFonts w:eastAsia="Calibri"/>
              <w:color w:val="000000" w:themeColor="text1"/>
              <w:sz w:val="22"/>
              <w:szCs w:val="22"/>
              <w:lang w:eastAsia="sk-SK"/>
            </w:rPr>
          </w:pPr>
        </w:p>
        <w:p w:rsidR="00E71603" w:rsidRPr="0028282D" w:rsidRDefault="00E71603" w:rsidP="00E71603">
          <w:pPr>
            <w:tabs>
              <w:tab w:val="left" w:pos="426"/>
              <w:tab w:val="right" w:leader="dot" w:pos="9060"/>
            </w:tabs>
            <w:spacing w:after="120" w:line="276" w:lineRule="auto"/>
            <w:ind w:left="420" w:hanging="420"/>
            <w:rPr>
              <w:noProof/>
              <w:color w:val="000000" w:themeColor="text1"/>
              <w:sz w:val="22"/>
              <w:szCs w:val="22"/>
              <w:lang w:eastAsia="sk-SK"/>
            </w:rPr>
          </w:pPr>
          <w:r w:rsidRPr="0028282D">
            <w:rPr>
              <w:rFonts w:ascii="Arial" w:eastAsia="Calibri" w:hAnsi="Arial" w:cs="Arial"/>
              <w:b/>
              <w:noProof/>
              <w:color w:val="000000" w:themeColor="text1"/>
              <w:lang w:eastAsia="en-US"/>
            </w:rPr>
            <w:fldChar w:fldCharType="begin"/>
          </w:r>
          <w:r w:rsidRPr="0028282D">
            <w:rPr>
              <w:rFonts w:ascii="Arial" w:eastAsia="Calibri" w:hAnsi="Arial" w:cs="Arial"/>
              <w:b/>
              <w:noProof/>
              <w:color w:val="000000" w:themeColor="text1"/>
              <w:lang w:eastAsia="en-US"/>
            </w:rPr>
            <w:instrText xml:space="preserve"> TOC \o "1-3" \h \z \u </w:instrText>
          </w:r>
          <w:r w:rsidRPr="0028282D">
            <w:rPr>
              <w:rFonts w:ascii="Arial" w:eastAsia="Calibri" w:hAnsi="Arial" w:cs="Arial"/>
              <w:b/>
              <w:noProof/>
              <w:color w:val="000000" w:themeColor="text1"/>
              <w:lang w:eastAsia="en-US"/>
            </w:rPr>
            <w:fldChar w:fldCharType="separate"/>
          </w:r>
          <w:hyperlink w:anchor="_Toc487557998" w:history="1">
            <w:r w:rsidRPr="0028282D">
              <w:rPr>
                <w:rFonts w:eastAsia="Calibri"/>
                <w:caps/>
                <w:noProof/>
                <w:color w:val="000000" w:themeColor="text1"/>
                <w:sz w:val="22"/>
                <w:szCs w:val="22"/>
                <w:lang w:eastAsia="en-US"/>
              </w:rPr>
              <w:t>Úvod</w:t>
            </w:r>
            <w:r w:rsidRPr="0028282D">
              <w:rPr>
                <w:rFonts w:eastAsia="Calibri"/>
                <w:noProof/>
                <w:webHidden/>
                <w:color w:val="000000" w:themeColor="text1"/>
                <w:sz w:val="22"/>
                <w:szCs w:val="22"/>
                <w:lang w:eastAsia="en-US"/>
              </w:rPr>
              <w:tab/>
            </w:r>
            <w:r w:rsidRPr="0028282D">
              <w:rPr>
                <w:rFonts w:eastAsia="Calibri"/>
                <w:noProof/>
                <w:webHidden/>
                <w:color w:val="000000" w:themeColor="text1"/>
                <w:sz w:val="22"/>
                <w:szCs w:val="22"/>
                <w:lang w:eastAsia="en-US"/>
              </w:rPr>
              <w:fldChar w:fldCharType="begin"/>
            </w:r>
            <w:r w:rsidRPr="0028282D">
              <w:rPr>
                <w:rFonts w:eastAsia="Calibri"/>
                <w:noProof/>
                <w:webHidden/>
                <w:color w:val="000000" w:themeColor="text1"/>
                <w:sz w:val="22"/>
                <w:szCs w:val="22"/>
                <w:lang w:eastAsia="en-US"/>
              </w:rPr>
              <w:instrText xml:space="preserve"> PAGEREF _Toc487557998 \h </w:instrText>
            </w:r>
            <w:r w:rsidRPr="0028282D">
              <w:rPr>
                <w:rFonts w:eastAsia="Calibri"/>
                <w:noProof/>
                <w:webHidden/>
                <w:color w:val="000000" w:themeColor="text1"/>
                <w:sz w:val="22"/>
                <w:szCs w:val="22"/>
                <w:lang w:eastAsia="en-US"/>
              </w:rPr>
            </w:r>
            <w:r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w:t>
            </w:r>
            <w:r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7999" w:history="1">
            <w:r w:rsidR="00E71603" w:rsidRPr="0028282D">
              <w:rPr>
                <w:rFonts w:eastAsia="Calibri"/>
                <w:caps/>
                <w:noProof/>
                <w:color w:val="000000" w:themeColor="text1"/>
                <w:sz w:val="22"/>
                <w:szCs w:val="22"/>
                <w:lang w:eastAsia="en-US"/>
              </w:rPr>
              <w:t>1</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Zhodnotenie roku 2016</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_Toc487557999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00" w:history="1">
            <w:r w:rsidR="00E71603" w:rsidRPr="0028282D">
              <w:rPr>
                <w:rFonts w:eastAsia="Calibri"/>
                <w:caps/>
                <w:noProof/>
                <w:color w:val="000000" w:themeColor="text1"/>
                <w:sz w:val="22"/>
                <w:szCs w:val="22"/>
                <w:lang w:eastAsia="en-US"/>
              </w:rPr>
              <w:t>2</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Predpokladaný vývoj zásobovania elektrinou na nasledujúcich          5 rokov</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_Toc487558000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12</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1" w:history="1">
            <w:r w:rsidR="00E71603" w:rsidRPr="0028282D">
              <w:rPr>
                <w:rFonts w:eastAsia="Calibri"/>
                <w:noProof/>
                <w:color w:val="000000" w:themeColor="text1"/>
                <w:sz w:val="22"/>
                <w:szCs w:val="22"/>
                <w:lang w:eastAsia="en-US"/>
              </w:rPr>
              <w:t>2.1</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Vývoj spotreby</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_Toc487558001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12</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2" w:history="1">
            <w:r w:rsidR="00E71603" w:rsidRPr="0028282D">
              <w:rPr>
                <w:rFonts w:eastAsia="Calibri"/>
                <w:noProof/>
                <w:color w:val="000000" w:themeColor="text1"/>
                <w:sz w:val="22"/>
                <w:szCs w:val="22"/>
                <w:lang w:eastAsia="en-US"/>
              </w:rPr>
              <w:t>2.2</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Výroba elektriny</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_Toc487558002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13</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3" w:history="1">
            <w:r w:rsidR="00E71603" w:rsidRPr="0028282D">
              <w:rPr>
                <w:rFonts w:eastAsia="Calibri"/>
                <w:noProof/>
                <w:color w:val="000000" w:themeColor="text1"/>
                <w:sz w:val="22"/>
                <w:szCs w:val="22"/>
                <w:lang w:eastAsia="en-US"/>
              </w:rPr>
              <w:t>2.3</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Podporné služby</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_Toc487558003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4" w:history="1">
            <w:r w:rsidR="00E71603" w:rsidRPr="0028282D">
              <w:rPr>
                <w:rFonts w:eastAsia="Calibri"/>
                <w:noProof/>
                <w:color w:val="000000" w:themeColor="text1"/>
                <w:sz w:val="22"/>
                <w:szCs w:val="22"/>
                <w:lang w:eastAsia="en-US"/>
              </w:rPr>
              <w:t>2.4</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Alokácia prenosových kapacít na cezhraničných profiloch PS SR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_Toc487558004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16</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5" w:history="1">
            <w:r w:rsidR="00E71603" w:rsidRPr="0028282D">
              <w:rPr>
                <w:rFonts w:eastAsia="Calibri"/>
                <w:noProof/>
                <w:color w:val="000000" w:themeColor="text1"/>
                <w:sz w:val="22"/>
                <w:szCs w:val="22"/>
                <w:lang w:eastAsia="en-US"/>
              </w:rPr>
              <w:t>2.5</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Prevádzka modulu pre vykonávanie koordinovaných bezpečnostných analýz</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_Toc487558005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18</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06" w:history="1">
            <w:r w:rsidR="00E71603" w:rsidRPr="0028282D">
              <w:rPr>
                <w:rFonts w:eastAsia="Calibri"/>
                <w:caps/>
                <w:noProof/>
                <w:color w:val="000000" w:themeColor="text1"/>
                <w:sz w:val="22"/>
                <w:szCs w:val="22"/>
                <w:lang w:eastAsia="en-US"/>
              </w:rPr>
              <w:t>3</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Perspektívy zabezpečenia dodávok elektriny na obdobie                        5 až 15 rokov</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_Toc487558006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19</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07" w:history="1">
            <w:r w:rsidR="00E71603" w:rsidRPr="0028282D">
              <w:rPr>
                <w:rFonts w:eastAsia="Calibri"/>
                <w:caps/>
                <w:noProof/>
                <w:color w:val="000000" w:themeColor="text1"/>
                <w:sz w:val="22"/>
                <w:szCs w:val="22"/>
                <w:lang w:eastAsia="en-US"/>
              </w:rPr>
              <w:t>4</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Investičné zámery prevádzkovateľa prenosovej sústavy na nasledujúcich 10 rokov</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_Toc487558007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8" w:history="1">
            <w:r w:rsidR="00E71603" w:rsidRPr="0028282D">
              <w:rPr>
                <w:rFonts w:eastAsia="Calibri"/>
                <w:noProof/>
                <w:color w:val="000000" w:themeColor="text1"/>
                <w:sz w:val="22"/>
                <w:szCs w:val="22"/>
                <w:lang w:eastAsia="en-US"/>
              </w:rPr>
              <w:t>4.1</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Vnútroštátne investičné zámery PPS</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_Toc487558008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09" w:history="1">
            <w:r w:rsidR="00E71603" w:rsidRPr="0028282D">
              <w:rPr>
                <w:rFonts w:eastAsia="Calibri"/>
                <w:noProof/>
                <w:color w:val="000000" w:themeColor="text1"/>
                <w:sz w:val="22"/>
                <w:szCs w:val="22"/>
                <w:lang w:eastAsia="en-US"/>
              </w:rPr>
              <w:t>4.2</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Cezhraničné investičné zámery PPS</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_Toc487558009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27</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10" w:history="1">
            <w:r w:rsidR="00E71603" w:rsidRPr="0028282D">
              <w:rPr>
                <w:rFonts w:eastAsia="Calibri"/>
                <w:caps/>
                <w:noProof/>
                <w:color w:val="000000" w:themeColor="text1"/>
                <w:sz w:val="22"/>
                <w:szCs w:val="22"/>
                <w:lang w:eastAsia="en-US"/>
              </w:rPr>
              <w:t>5</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Bezpečnosť a spoľahlivosť prevádzky ES SR, opatrenia na riešenie preťažení</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_Toc487558010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28</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1" w:history="1">
            <w:r w:rsidR="00E71603" w:rsidRPr="0028282D">
              <w:rPr>
                <w:rFonts w:eastAsia="Calibri"/>
                <w:noProof/>
                <w:color w:val="000000" w:themeColor="text1"/>
                <w:sz w:val="22"/>
                <w:szCs w:val="22"/>
                <w:lang w:eastAsia="en-US"/>
              </w:rPr>
              <w:t>5.1</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Príprava prevádzky ES SR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_Toc487558011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29</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2" w:history="1">
            <w:r w:rsidR="00E71603" w:rsidRPr="0028282D">
              <w:rPr>
                <w:rFonts w:eastAsia="Calibri"/>
                <w:noProof/>
                <w:color w:val="000000" w:themeColor="text1"/>
                <w:sz w:val="22"/>
                <w:szCs w:val="22"/>
                <w:lang w:eastAsia="en-US"/>
              </w:rPr>
              <w:t>5.2</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Vypracovanie Plánu obrany a obnovy ES SR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_Toc487558012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29</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3" w:history="1">
            <w:r w:rsidR="00E71603" w:rsidRPr="0028282D">
              <w:rPr>
                <w:rFonts w:eastAsia="Calibri"/>
                <w:noProof/>
                <w:color w:val="000000" w:themeColor="text1"/>
                <w:sz w:val="22"/>
                <w:szCs w:val="22"/>
                <w:lang w:eastAsia="en-US"/>
              </w:rPr>
              <w:t>5.3</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Problematika vysokých neplánovaných tokov v PS SR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_Toc487558013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30</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4" w:history="1">
            <w:r w:rsidR="00E71603" w:rsidRPr="0028282D">
              <w:rPr>
                <w:rFonts w:eastAsia="Calibri"/>
                <w:noProof/>
                <w:color w:val="000000" w:themeColor="text1"/>
                <w:sz w:val="22"/>
                <w:szCs w:val="22"/>
                <w:lang w:eastAsia="en-US"/>
              </w:rPr>
              <w:t>5.4</w:t>
            </w:r>
            <w:r w:rsidR="00E71603" w:rsidRPr="0028282D">
              <w:rPr>
                <w:noProof/>
                <w:color w:val="000000" w:themeColor="text1"/>
                <w:sz w:val="22"/>
                <w:szCs w:val="22"/>
                <w:lang w:eastAsia="sk-SK"/>
              </w:rPr>
              <w:tab/>
            </w:r>
            <w:r w:rsidR="00E71603" w:rsidRPr="0028282D">
              <w:rPr>
                <w:rFonts w:eastAsia="Calibri"/>
                <w:noProof/>
                <w:color w:val="000000" w:themeColor="text1"/>
                <w:sz w:val="22"/>
                <w:szCs w:val="22"/>
                <w:lang w:eastAsia="en-US"/>
              </w:rPr>
              <w:t>Nápravné opatrenia v zmysle Prevádzkovej príručky RG CE ENTSO-E</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_Toc487558014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30</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15" w:history="1">
            <w:r w:rsidR="00E71603" w:rsidRPr="0028282D">
              <w:rPr>
                <w:rFonts w:eastAsia="Calibri"/>
                <w:caps/>
                <w:noProof/>
                <w:color w:val="000000" w:themeColor="text1"/>
                <w:sz w:val="22"/>
                <w:szCs w:val="22"/>
                <w:lang w:eastAsia="en-US"/>
              </w:rPr>
              <w:t>6</w:t>
            </w:r>
            <w:r w:rsidR="00E71603" w:rsidRPr="0028282D">
              <w:rPr>
                <w:noProof/>
                <w:color w:val="000000" w:themeColor="text1"/>
                <w:sz w:val="22"/>
                <w:szCs w:val="22"/>
                <w:lang w:eastAsia="sk-SK"/>
              </w:rPr>
              <w:tab/>
            </w:r>
            <w:r w:rsidR="00E71603" w:rsidRPr="0028282D">
              <w:rPr>
                <w:rFonts w:eastAsia="Calibri"/>
                <w:caps/>
                <w:noProof/>
                <w:color w:val="000000" w:themeColor="text1"/>
                <w:sz w:val="22"/>
                <w:szCs w:val="22"/>
                <w:lang w:eastAsia="en-US"/>
              </w:rPr>
              <w:t>Opatrenia na krytie špičkového dopytu a riešenie výpadkov               v ES SR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_Toc487558015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32</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16" w:history="1">
            <w:r w:rsidR="00E71603" w:rsidRPr="0028282D">
              <w:rPr>
                <w:caps/>
                <w:noProof/>
                <w:color w:val="000000" w:themeColor="text1"/>
                <w:sz w:val="22"/>
                <w:szCs w:val="22"/>
                <w:lang w:eastAsia="en-US"/>
              </w:rPr>
              <w:t>7</w:t>
            </w:r>
            <w:r w:rsidR="00E71603" w:rsidRPr="0028282D">
              <w:rPr>
                <w:noProof/>
                <w:color w:val="000000" w:themeColor="text1"/>
                <w:sz w:val="22"/>
                <w:szCs w:val="22"/>
                <w:lang w:eastAsia="sk-SK"/>
              </w:rPr>
              <w:tab/>
            </w:r>
            <w:r w:rsidR="00E71603" w:rsidRPr="0028282D">
              <w:rPr>
                <w:caps/>
                <w:noProof/>
                <w:color w:val="000000" w:themeColor="text1"/>
                <w:sz w:val="22"/>
                <w:szCs w:val="22"/>
                <w:lang w:eastAsia="en-US"/>
              </w:rPr>
              <w:t>Kvalita a úroveň údržby prenosovej sústavy</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_Toc487558016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7" w:history="1">
            <w:r w:rsidR="00E71603" w:rsidRPr="0028282D">
              <w:rPr>
                <w:noProof/>
                <w:color w:val="000000" w:themeColor="text1"/>
                <w:sz w:val="22"/>
                <w:szCs w:val="22"/>
                <w:lang w:eastAsia="en-US"/>
              </w:rPr>
              <w:t>7.1</w:t>
            </w:r>
            <w:r w:rsidR="00E71603" w:rsidRPr="0028282D">
              <w:rPr>
                <w:noProof/>
                <w:color w:val="000000" w:themeColor="text1"/>
                <w:sz w:val="22"/>
                <w:szCs w:val="22"/>
                <w:lang w:eastAsia="sk-SK"/>
              </w:rPr>
              <w:tab/>
            </w:r>
            <w:r w:rsidR="00E71603" w:rsidRPr="0028282D">
              <w:rPr>
                <w:noProof/>
                <w:color w:val="000000" w:themeColor="text1"/>
                <w:sz w:val="22"/>
                <w:szCs w:val="22"/>
                <w:lang w:eastAsia="en-US"/>
              </w:rPr>
              <w:t>Poruchovosť a štandardy kvality prenosu</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_Toc487558017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34</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993"/>
              <w:tab w:val="right" w:leader="dot" w:pos="9060"/>
            </w:tabs>
            <w:spacing w:line="360" w:lineRule="auto"/>
            <w:ind w:left="567"/>
            <w:jc w:val="both"/>
            <w:rPr>
              <w:noProof/>
              <w:color w:val="000000" w:themeColor="text1"/>
              <w:sz w:val="22"/>
              <w:szCs w:val="22"/>
              <w:lang w:eastAsia="sk-SK"/>
            </w:rPr>
          </w:pPr>
          <w:hyperlink w:anchor="_Toc487558018" w:history="1">
            <w:r w:rsidR="00E71603" w:rsidRPr="0028282D">
              <w:rPr>
                <w:noProof/>
                <w:color w:val="000000" w:themeColor="text1"/>
                <w:sz w:val="22"/>
                <w:szCs w:val="22"/>
                <w:lang w:eastAsia="en-US"/>
              </w:rPr>
              <w:t>7.2</w:t>
            </w:r>
            <w:r w:rsidR="00E71603" w:rsidRPr="0028282D">
              <w:rPr>
                <w:noProof/>
                <w:color w:val="000000" w:themeColor="text1"/>
                <w:sz w:val="22"/>
                <w:szCs w:val="22"/>
                <w:lang w:eastAsia="sk-SK"/>
              </w:rPr>
              <w:tab/>
            </w:r>
            <w:r w:rsidR="00E71603" w:rsidRPr="0028282D">
              <w:rPr>
                <w:noProof/>
                <w:color w:val="000000" w:themeColor="text1"/>
                <w:sz w:val="22"/>
                <w:szCs w:val="22"/>
                <w:lang w:eastAsia="en-US"/>
              </w:rPr>
              <w:t>Vyhodnotenie parametrov kvality elektriny v PS</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_Toc487558018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35</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noProof/>
              <w:color w:val="000000" w:themeColor="text1"/>
              <w:sz w:val="22"/>
              <w:szCs w:val="22"/>
              <w:lang w:eastAsia="sk-SK"/>
            </w:rPr>
          </w:pPr>
          <w:hyperlink w:anchor="_Toc487558019" w:history="1">
            <w:r w:rsidR="00E71603" w:rsidRPr="0028282D">
              <w:rPr>
                <w:rFonts w:eastAsia="Calibri"/>
                <w:caps/>
                <w:noProof/>
                <w:color w:val="000000" w:themeColor="text1"/>
                <w:sz w:val="22"/>
                <w:szCs w:val="22"/>
                <w:lang w:eastAsia="en-US"/>
              </w:rPr>
              <w:t>Úloha orgánov štátnej správy</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_Toc487558019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36</w:t>
            </w:r>
            <w:r w:rsidR="00E71603" w:rsidRPr="0028282D">
              <w:rPr>
                <w:rFonts w:eastAsia="Calibri"/>
                <w:noProof/>
                <w:webHidden/>
                <w:color w:val="000000" w:themeColor="text1"/>
                <w:sz w:val="22"/>
                <w:szCs w:val="22"/>
                <w:lang w:eastAsia="en-US"/>
              </w:rPr>
              <w:fldChar w:fldCharType="end"/>
            </w:r>
          </w:hyperlink>
        </w:p>
        <w:p w:rsidR="00E71603" w:rsidRPr="0028282D" w:rsidRDefault="00AE65C9" w:rsidP="00E71603">
          <w:pPr>
            <w:tabs>
              <w:tab w:val="left" w:pos="426"/>
              <w:tab w:val="right" w:leader="dot" w:pos="9060"/>
            </w:tabs>
            <w:spacing w:after="120" w:line="276" w:lineRule="auto"/>
            <w:ind w:left="420" w:hanging="420"/>
            <w:rPr>
              <w:rFonts w:ascii="Calibri" w:hAnsi="Calibri"/>
              <w:noProof/>
              <w:color w:val="000000" w:themeColor="text1"/>
              <w:sz w:val="22"/>
              <w:szCs w:val="22"/>
              <w:lang w:eastAsia="sk-SK"/>
            </w:rPr>
          </w:pPr>
          <w:hyperlink w:anchor="_Toc487558020" w:history="1">
            <w:r w:rsidR="00E71603" w:rsidRPr="0028282D">
              <w:rPr>
                <w:rFonts w:eastAsia="Calibri"/>
                <w:caps/>
                <w:noProof/>
                <w:color w:val="000000" w:themeColor="text1"/>
                <w:sz w:val="22"/>
                <w:szCs w:val="22"/>
                <w:lang w:eastAsia="en-US"/>
              </w:rPr>
              <w:t>Záver</w:t>
            </w:r>
            <w:r w:rsidR="00E71603" w:rsidRPr="0028282D">
              <w:rPr>
                <w:rFonts w:eastAsia="Calibri"/>
                <w:noProof/>
                <w:webHidden/>
                <w:color w:val="000000" w:themeColor="text1"/>
                <w:sz w:val="22"/>
                <w:szCs w:val="22"/>
                <w:lang w:eastAsia="en-US"/>
              </w:rPr>
              <w:tab/>
            </w:r>
            <w:r w:rsidR="00E71603" w:rsidRPr="0028282D">
              <w:rPr>
                <w:rFonts w:eastAsia="Calibri"/>
                <w:noProof/>
                <w:webHidden/>
                <w:color w:val="000000" w:themeColor="text1"/>
                <w:sz w:val="22"/>
                <w:szCs w:val="22"/>
                <w:lang w:eastAsia="en-US"/>
              </w:rPr>
              <w:fldChar w:fldCharType="begin"/>
            </w:r>
            <w:r w:rsidR="00E71603" w:rsidRPr="0028282D">
              <w:rPr>
                <w:rFonts w:eastAsia="Calibri"/>
                <w:noProof/>
                <w:webHidden/>
                <w:color w:val="000000" w:themeColor="text1"/>
                <w:sz w:val="22"/>
                <w:szCs w:val="22"/>
                <w:lang w:eastAsia="en-US"/>
              </w:rPr>
              <w:instrText xml:space="preserve"> PAGEREF _Toc487558020 \h </w:instrText>
            </w:r>
            <w:r w:rsidR="00E71603" w:rsidRPr="0028282D">
              <w:rPr>
                <w:rFonts w:eastAsia="Calibri"/>
                <w:noProof/>
                <w:webHidden/>
                <w:color w:val="000000" w:themeColor="text1"/>
                <w:sz w:val="22"/>
                <w:szCs w:val="22"/>
                <w:lang w:eastAsia="en-US"/>
              </w:rPr>
            </w:r>
            <w:r w:rsidR="00E71603" w:rsidRPr="0028282D">
              <w:rPr>
                <w:rFonts w:eastAsia="Calibri"/>
                <w:noProof/>
                <w:webHidden/>
                <w:color w:val="000000" w:themeColor="text1"/>
                <w:sz w:val="22"/>
                <w:szCs w:val="22"/>
                <w:lang w:eastAsia="en-US"/>
              </w:rPr>
              <w:fldChar w:fldCharType="separate"/>
            </w:r>
            <w:r w:rsidR="00C940DB">
              <w:rPr>
                <w:rFonts w:eastAsia="Calibri"/>
                <w:noProof/>
                <w:webHidden/>
                <w:color w:val="000000" w:themeColor="text1"/>
                <w:sz w:val="22"/>
                <w:szCs w:val="22"/>
                <w:lang w:eastAsia="en-US"/>
              </w:rPr>
              <w:t>36</w:t>
            </w:r>
            <w:r w:rsidR="00E71603" w:rsidRPr="0028282D">
              <w:rPr>
                <w:rFonts w:eastAsia="Calibri"/>
                <w:noProof/>
                <w:webHidden/>
                <w:color w:val="000000" w:themeColor="text1"/>
                <w:sz w:val="22"/>
                <w:szCs w:val="22"/>
                <w:lang w:eastAsia="en-US"/>
              </w:rPr>
              <w:fldChar w:fldCharType="end"/>
            </w:r>
          </w:hyperlink>
        </w:p>
        <w:p w:rsidR="00E71603" w:rsidRPr="00E71603" w:rsidRDefault="00E71603" w:rsidP="00E71603">
          <w:pPr>
            <w:tabs>
              <w:tab w:val="left" w:pos="426"/>
              <w:tab w:val="right" w:leader="dot" w:pos="9060"/>
            </w:tabs>
            <w:spacing w:after="120" w:line="276" w:lineRule="auto"/>
            <w:ind w:left="420" w:hanging="420"/>
            <w:rPr>
              <w:rFonts w:ascii="Arial" w:eastAsia="Calibri" w:hAnsi="Arial" w:cs="Arial"/>
              <w:b/>
              <w:noProof/>
              <w:color w:val="000000"/>
              <w:lang w:eastAsia="en-US"/>
            </w:rPr>
          </w:pPr>
          <w:r w:rsidRPr="0028282D">
            <w:rPr>
              <w:rFonts w:ascii="Arial" w:eastAsia="Calibri" w:hAnsi="Arial" w:cs="Arial"/>
              <w:b/>
              <w:noProof/>
              <w:color w:val="000000" w:themeColor="text1"/>
              <w:lang w:eastAsia="en-US"/>
            </w:rPr>
            <w:fldChar w:fldCharType="end"/>
          </w:r>
        </w:p>
      </w:sdtContent>
    </w:sdt>
    <w:p w:rsidR="00E71603" w:rsidRPr="00E71603" w:rsidRDefault="00E71603" w:rsidP="00E71603">
      <w:pPr>
        <w:spacing w:after="120" w:line="276" w:lineRule="auto"/>
        <w:jc w:val="both"/>
        <w:rPr>
          <w:rFonts w:eastAsia="Calibri"/>
          <w:b/>
          <w:lang w:eastAsia="en-US"/>
        </w:rPr>
        <w:sectPr w:rsidR="00E71603" w:rsidRPr="00E71603" w:rsidSect="00E71603">
          <w:headerReference w:type="default" r:id="rId12"/>
          <w:footerReference w:type="default" r:id="rId13"/>
          <w:type w:val="continuous"/>
          <w:pgSz w:w="11906" w:h="16838"/>
          <w:pgMar w:top="1418" w:right="1418" w:bottom="1418" w:left="1418" w:header="709" w:footer="709" w:gutter="0"/>
          <w:cols w:space="708"/>
          <w:docGrid w:linePitch="360"/>
        </w:sectPr>
      </w:pPr>
      <w:r w:rsidRPr="00E71603">
        <w:rPr>
          <w:rFonts w:eastAsia="Calibri"/>
          <w:b/>
          <w:lang w:eastAsia="en-US"/>
        </w:rPr>
        <w:br w:type="page"/>
      </w:r>
    </w:p>
    <w:p w:rsidR="00E71603" w:rsidRPr="00E71603" w:rsidRDefault="00E71603" w:rsidP="00E71603">
      <w:pPr>
        <w:keepNext/>
        <w:keepLines/>
        <w:spacing w:before="240" w:after="240" w:line="276" w:lineRule="auto"/>
        <w:jc w:val="both"/>
        <w:outlineLvl w:val="0"/>
        <w:rPr>
          <w:b/>
          <w:caps/>
          <w:szCs w:val="32"/>
          <w:lang w:eastAsia="en-US"/>
        </w:rPr>
      </w:pPr>
      <w:bookmarkStart w:id="2" w:name="_Toc487557998"/>
      <w:r w:rsidRPr="00E71603">
        <w:rPr>
          <w:b/>
          <w:caps/>
          <w:szCs w:val="32"/>
          <w:lang w:eastAsia="en-US"/>
        </w:rPr>
        <w:lastRenderedPageBreak/>
        <w:t>Úvod</w:t>
      </w:r>
      <w:bookmarkEnd w:id="2"/>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Správu o výsledkoch monitorovania bezpečnosti dodávky elektriny a o prijatých a predpokladaných opatreniach na riešenie bezpečnosti dodávok elektriny Ministerstvo hospodárstva SR uverejňuje každoročne na základe ustanovenia § 88 ods. 2 písm. j) v rozsahu podľa ods. 10 zákona č. 251/2012 Z. z. o energetike a o zmene a doplnení niektorých zákonov (ďalej „zákon o energetike“). Správu uverejňuje na webovom sídle ministerstva a zasiela Komisii. Ministerstvo pripravuje správu v spolupráci s prevádzkovateľom prenosovej sústavy.</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Spoločnosť SEPS, a.s. podľa § 28 ods. 3 písm. k) poskytuje ministerstvu na požiadanie návrhy na riešenie rovnováhy medzi ponukou a dopytom elektriny na obdobie piatich rokov a perspektívu zabezpečenia dodávok elektriny na obdobie piatich až pätnástich rokov na účely vypracovania Správy o výsledkoch monitorovania bezpečnosti dodávok elektriny podľa § 88 ods. 2 písm. j) zákona o energetike.</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Správa je vypracovaná v súlade so štruktúrou podľa článku 4 smernice Európskeho parlamentu a rady č. 2009/72/ES o spoločných pravidlách pre vnútorný trh s elektrinou a podľa článku 7 smernice Európskeho parlamentu a rady 2005/89/ES o opatreniach na zabezpečenie bezpečnosti dodávok elektrickej energie a investícií do infraštruktúry.</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Od 1. januára 2005 je stanovená kompetencia Ministerstva hospodárstva SR vo vzťahu k sledovaniu dodržiavania bezpečnosti dodávok elektriny a uverejneniu správy o výsledkoch monitorovania bezpečnosti dodávok elektriny.</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Bezpečnosť dodávky elektriny je zákonom o energetike definovaná ako schopnosť sústavy zásobovať koncových odberateľov elektriny, zabezpečenie technickej bezpečnosti energetických zariadení a rovnováhy ponuky a dopytu elektriny na vymedzenom území Slovenskej republiky (SR) alebo jeho časti.</w:t>
      </w:r>
    </w:p>
    <w:p w:rsidR="00E71603" w:rsidRPr="00E71603" w:rsidRDefault="00E71603" w:rsidP="00E71603">
      <w:pPr>
        <w:spacing w:after="120" w:line="276" w:lineRule="auto"/>
        <w:jc w:val="both"/>
        <w:rPr>
          <w:rFonts w:eastAsia="Calibri"/>
          <w:sz w:val="22"/>
          <w:szCs w:val="22"/>
          <w:lang w:eastAsia="en-US"/>
        </w:rPr>
        <w:sectPr w:rsidR="00E71603" w:rsidRPr="00E71603" w:rsidSect="0028282D">
          <w:footerReference w:type="default" r:id="rId14"/>
          <w:type w:val="continuous"/>
          <w:pgSz w:w="11906" w:h="16838"/>
          <w:pgMar w:top="1418" w:right="1418" w:bottom="1418" w:left="1418" w:header="709" w:footer="709" w:gutter="0"/>
          <w:pgNumType w:start="3"/>
          <w:cols w:space="708"/>
          <w:docGrid w:linePitch="360"/>
        </w:sectPr>
      </w:pPr>
    </w:p>
    <w:p w:rsidR="00E71603" w:rsidRPr="00E71603" w:rsidRDefault="00E71603" w:rsidP="00E71603">
      <w:pPr>
        <w:keepNext/>
        <w:keepLines/>
        <w:numPr>
          <w:ilvl w:val="0"/>
          <w:numId w:val="13"/>
        </w:numPr>
        <w:spacing w:before="240" w:after="240" w:line="276" w:lineRule="auto"/>
        <w:ind w:left="426" w:hanging="426"/>
        <w:jc w:val="both"/>
        <w:outlineLvl w:val="0"/>
        <w:rPr>
          <w:b/>
          <w:caps/>
          <w:lang w:eastAsia="en-US"/>
        </w:rPr>
      </w:pPr>
      <w:bookmarkStart w:id="3" w:name="_Toc487557999"/>
      <w:r w:rsidRPr="00E71603">
        <w:rPr>
          <w:b/>
          <w:caps/>
          <w:lang w:eastAsia="en-US"/>
        </w:rPr>
        <w:lastRenderedPageBreak/>
        <w:t>Zhodnotenie roku 2016</w:t>
      </w:r>
      <w:bookmarkEnd w:id="3"/>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 xml:space="preserve">V roku 2016 dosiahla celková spotreba elektriny Slovenskej republiky historické maximum. Hodnota 30 103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predstavuje oproti roku 2015 nárast o 555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(+1,88 %). Zásadný vplyv na túto skutočnosť mali pretrvávajúci hospodársky rast a klimatické podmienky v závere roka.</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 xml:space="preserve">Nárast výroby elektriny (+261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bol oproti predchádzajúcemu roku menej výrazný (+0,96 %), čoho dôsledkom bol aj nárast importu elektriny (saldo) o 294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(+12,5 %) pre pokrytie dopytu v SR.</w:t>
      </w:r>
    </w:p>
    <w:p w:rsidR="00E71603" w:rsidRPr="00E71603" w:rsidRDefault="00E71603" w:rsidP="00E71603">
      <w:pPr>
        <w:spacing w:after="240" w:line="276" w:lineRule="auto"/>
        <w:jc w:val="both"/>
        <w:rPr>
          <w:rFonts w:eastAsia="Calibri"/>
          <w:sz w:val="22"/>
          <w:szCs w:val="22"/>
          <w:lang w:eastAsia="en-US"/>
        </w:rPr>
      </w:pPr>
      <w:r w:rsidRPr="00E71603">
        <w:rPr>
          <w:rFonts w:eastAsia="Calibri"/>
          <w:sz w:val="22"/>
          <w:szCs w:val="22"/>
          <w:lang w:eastAsia="en-US"/>
        </w:rPr>
        <w:t>Maximálne zaťaženie sústavy bolo 7. decembra o 17:00 vo výške 4 382 MW, čo je nárast oproti predchádzajúcemu roku o 236 MW. Minimum zaťaženia (7. augusta o 6:00) dosiahlo hodnotu 2 254 MW. Vývoj zásobovania SR elektrinou v rokoch 2005 až 2016 je uvedený v nasledujúcej tabuľke:</w:t>
      </w:r>
    </w:p>
    <w:p w:rsidR="00E71603" w:rsidRPr="00E71603" w:rsidRDefault="00E71603" w:rsidP="00E71603">
      <w:pPr>
        <w:spacing w:line="276" w:lineRule="auto"/>
        <w:jc w:val="both"/>
        <w:rPr>
          <w:rFonts w:eastAsia="Calibri"/>
          <w:sz w:val="22"/>
          <w:szCs w:val="22"/>
          <w:lang w:eastAsia="en-US"/>
        </w:rPr>
      </w:pPr>
      <w:r w:rsidRPr="00E71603">
        <w:rPr>
          <w:rFonts w:eastAsia="Calibri"/>
          <w:b/>
          <w:i/>
          <w:sz w:val="22"/>
          <w:szCs w:val="22"/>
          <w:lang w:eastAsia="en-US"/>
        </w:rPr>
        <w:t>Tab. 1.1  Výroba, spotreba a zaťaženie ES SR v rokoch 2005 až 2016</w:t>
      </w:r>
    </w:p>
    <w:p w:rsidR="00E71603" w:rsidRPr="00E71603" w:rsidRDefault="00E71603" w:rsidP="00E71603">
      <w:pPr>
        <w:spacing w:after="240" w:line="276" w:lineRule="auto"/>
        <w:rPr>
          <w:rFonts w:eastAsia="Calibri"/>
          <w:b/>
          <w:i/>
          <w:sz w:val="22"/>
          <w:szCs w:val="22"/>
          <w:lang w:eastAsia="en-US"/>
        </w:rPr>
      </w:pPr>
      <w:r w:rsidRPr="00E71603">
        <w:rPr>
          <w:rFonts w:eastAsia="Calibri"/>
          <w:noProof/>
          <w:sz w:val="22"/>
          <w:szCs w:val="22"/>
          <w:lang w:eastAsia="sk-SK"/>
        </w:rPr>
        <w:drawing>
          <wp:inline distT="0" distB="0" distL="0" distR="0" wp14:anchorId="52996267" wp14:editId="6160EAC0">
            <wp:extent cx="4916805" cy="3373120"/>
            <wp:effectExtent l="0" t="0" r="0" b="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6805" cy="3373120"/>
                    </a:xfrm>
                    <a:prstGeom prst="rect">
                      <a:avLst/>
                    </a:prstGeom>
                    <a:noFill/>
                    <a:ln>
                      <a:noFill/>
                    </a:ln>
                  </pic:spPr>
                </pic:pic>
              </a:graphicData>
            </a:graphic>
          </wp:inline>
        </w:drawing>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 xml:space="preserve">Z pohľadu bilancie elektriny je Slovensko od roku 2007 (po odstavení EBO V1) importnou krajinou, avšak do roku 2013 mal import zostupnú tendenciu. V rokoch 2014 až 2016 sa tento trend zmenil. V roku 2016 došlo k medziročnému nárastu importu elektriny o 294 </w:t>
      </w:r>
      <w:proofErr w:type="spellStart"/>
      <w:r w:rsidRPr="00E71603">
        <w:rPr>
          <w:rFonts w:eastAsia="Calibri"/>
          <w:sz w:val="22"/>
          <w:szCs w:val="22"/>
          <w:lang w:eastAsia="en-US"/>
        </w:rPr>
        <w:t>GWh</w:t>
      </w:r>
      <w:proofErr w:type="spellEnd"/>
      <w:r w:rsidRPr="00E71603">
        <w:rPr>
          <w:rFonts w:eastAsia="Calibri"/>
          <w:sz w:val="22"/>
          <w:szCs w:val="22"/>
          <w:lang w:eastAsia="en-US"/>
        </w:rPr>
        <w:t>, čím sa jeho podiel na spotrebe elektriny v SR zvýšil z 8,0 % v roku 2015 na 8,8 % v roku 2016.</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Hlavnou príčinou je nerovnováha medzi cenou elektriny na trhu a výrobnými nákladmi zdrojov elektriny</w:t>
      </w:r>
      <w:r w:rsidRPr="00E71603">
        <w:rPr>
          <w:rFonts w:eastAsia="Calibri"/>
          <w:sz w:val="22"/>
          <w:szCs w:val="22"/>
          <w:vertAlign w:val="superscript"/>
          <w:lang w:eastAsia="en-US"/>
        </w:rPr>
        <w:footnoteReference w:id="1"/>
      </w:r>
      <w:r w:rsidRPr="00E71603">
        <w:rPr>
          <w:rFonts w:eastAsia="Calibri"/>
          <w:sz w:val="22"/>
          <w:szCs w:val="22"/>
          <w:lang w:eastAsia="en-US"/>
        </w:rPr>
        <w:t>, ktoré nemôžu využiť dotáciu na svoju produkciu (t.j. nedotované zdroje elektriny). Výsledkom je nákup elektriny v zahraničí.</w:t>
      </w:r>
    </w:p>
    <w:p w:rsidR="00E71603" w:rsidRPr="00E71603" w:rsidRDefault="00E71603" w:rsidP="00E71603">
      <w:pPr>
        <w:spacing w:before="240" w:line="276" w:lineRule="auto"/>
        <w:jc w:val="center"/>
        <w:rPr>
          <w:rFonts w:eastAsia="Calibri"/>
          <w:b/>
          <w:i/>
          <w:sz w:val="22"/>
          <w:szCs w:val="22"/>
          <w:lang w:eastAsia="en-US"/>
        </w:rPr>
      </w:pPr>
      <w:r w:rsidRPr="00E71603">
        <w:rPr>
          <w:rFonts w:eastAsia="Calibri"/>
          <w:iCs/>
          <w:noProof/>
          <w:sz w:val="22"/>
          <w:szCs w:val="22"/>
          <w:lang w:eastAsia="sk-SK"/>
        </w:rPr>
        <w:lastRenderedPageBreak/>
        <w:drawing>
          <wp:inline distT="0" distB="0" distL="0" distR="0" wp14:anchorId="2BC0F3C0" wp14:editId="2453E923">
            <wp:extent cx="5267325" cy="3583170"/>
            <wp:effectExtent l="0" t="0" r="0" b="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4730" cy="3581405"/>
                    </a:xfrm>
                    <a:prstGeom prst="rect">
                      <a:avLst/>
                    </a:prstGeom>
                    <a:noFill/>
                  </pic:spPr>
                </pic:pic>
              </a:graphicData>
            </a:graphic>
          </wp:inline>
        </w:drawing>
      </w:r>
    </w:p>
    <w:p w:rsidR="00E71603" w:rsidRPr="00E71603" w:rsidRDefault="00E71603" w:rsidP="00E71603">
      <w:pPr>
        <w:spacing w:after="120" w:line="276" w:lineRule="auto"/>
        <w:jc w:val="center"/>
        <w:rPr>
          <w:rFonts w:eastAsia="Calibri"/>
          <w:b/>
          <w:i/>
          <w:sz w:val="22"/>
          <w:szCs w:val="22"/>
          <w:lang w:eastAsia="en-US"/>
        </w:rPr>
      </w:pPr>
      <w:r w:rsidRPr="00E71603">
        <w:rPr>
          <w:rFonts w:eastAsia="Calibri"/>
          <w:b/>
          <w:i/>
          <w:sz w:val="22"/>
          <w:szCs w:val="22"/>
          <w:lang w:eastAsia="en-US"/>
        </w:rPr>
        <w:t>Obr. 1.1  Bilancia celkovej výroby a spotreby elektriny SR za roky 2005 – 2016</w:t>
      </w:r>
    </w:p>
    <w:p w:rsidR="00E71603" w:rsidRPr="00E71603" w:rsidRDefault="00E71603" w:rsidP="00E71603">
      <w:pPr>
        <w:spacing w:before="240" w:after="120" w:line="276" w:lineRule="auto"/>
        <w:jc w:val="both"/>
        <w:rPr>
          <w:rFonts w:eastAsia="Calibri"/>
          <w:sz w:val="22"/>
          <w:szCs w:val="22"/>
          <w:lang w:eastAsia="en-US"/>
        </w:rPr>
      </w:pPr>
      <w:r w:rsidRPr="00E71603">
        <w:rPr>
          <w:rFonts w:eastAsia="Calibri"/>
          <w:sz w:val="22"/>
          <w:szCs w:val="22"/>
          <w:lang w:eastAsia="en-US"/>
        </w:rPr>
        <w:t xml:space="preserve">Celková spotreba elektriny SR aj v roku 2016 bola pokrývaná hlavne jadrovými elektrárňami. Došlo však k poklesu ich celkovej výroby elektriny z 15 146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2015) na 14 774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2016) a taktiež aj k poklesu ich podielu na výrobe elektriny (z 55,7 % na 53,8 %). K nárastu došlo vo výrobe elektriny z vodných elektrární z hodnoty 4 338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2015) na hodnotu 4 844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2016) a vo fosílnych elektrárňach (TE) z 5 252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na 5 319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V kategórií OZE a ostatné zdroje bol zaznamenaný nárast z 2 455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2015) na 2 515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(r. 2016), z čoho produkcia </w:t>
      </w:r>
      <w:proofErr w:type="spellStart"/>
      <w:r w:rsidRPr="00E71603">
        <w:rPr>
          <w:rFonts w:eastAsia="Calibri"/>
          <w:sz w:val="22"/>
          <w:szCs w:val="22"/>
          <w:lang w:eastAsia="en-US"/>
        </w:rPr>
        <w:t>fotovoltických</w:t>
      </w:r>
      <w:proofErr w:type="spellEnd"/>
      <w:r w:rsidRPr="00E71603">
        <w:rPr>
          <w:rFonts w:eastAsia="Calibri"/>
          <w:sz w:val="22"/>
          <w:szCs w:val="22"/>
          <w:lang w:eastAsia="en-US"/>
        </w:rPr>
        <w:t xml:space="preserve"> elektrární (FVE) ostala prakticky nezmenená (577 </w:t>
      </w:r>
      <w:proofErr w:type="spellStart"/>
      <w:r w:rsidRPr="00E71603">
        <w:rPr>
          <w:rFonts w:eastAsia="Calibri"/>
          <w:sz w:val="22"/>
          <w:szCs w:val="22"/>
          <w:lang w:eastAsia="en-US"/>
        </w:rPr>
        <w:t>GWh</w:t>
      </w:r>
      <w:proofErr w:type="spellEnd"/>
      <w:r w:rsidRPr="00E71603">
        <w:rPr>
          <w:rFonts w:eastAsia="Calibri"/>
          <w:sz w:val="22"/>
          <w:szCs w:val="22"/>
          <w:lang w:eastAsia="en-US"/>
        </w:rPr>
        <w:t>).</w:t>
      </w:r>
    </w:p>
    <w:tbl>
      <w:tblPr>
        <w:tblStyle w:val="Mriekatabuky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tblCellMar>
        <w:tblLook w:val="04A0" w:firstRow="1" w:lastRow="0" w:firstColumn="1" w:lastColumn="0" w:noHBand="0" w:noVBand="1"/>
      </w:tblPr>
      <w:tblGrid>
        <w:gridCol w:w="4643"/>
        <w:gridCol w:w="4643"/>
      </w:tblGrid>
      <w:tr w:rsidR="00E71603" w:rsidRPr="00E71603" w:rsidTr="00E71603">
        <w:trPr>
          <w:trHeight w:val="3005"/>
        </w:trPr>
        <w:tc>
          <w:tcPr>
            <w:tcW w:w="2500" w:type="pct"/>
            <w:vAlign w:val="center"/>
          </w:tcPr>
          <w:p w:rsidR="00E71603" w:rsidRPr="00E71603" w:rsidRDefault="00E71603" w:rsidP="00E71603">
            <w:pPr>
              <w:spacing w:after="240" w:line="276" w:lineRule="auto"/>
              <w:jc w:val="center"/>
              <w:rPr>
                <w:rFonts w:ascii="Times New Roman" w:hAnsi="Times New Roman"/>
                <w:b/>
                <w:i/>
                <w:sz w:val="22"/>
                <w:szCs w:val="22"/>
                <w:lang w:eastAsia="en-US"/>
              </w:rPr>
            </w:pPr>
            <w:r w:rsidRPr="00E71603">
              <w:rPr>
                <w:iCs/>
                <w:noProof/>
                <w:sz w:val="22"/>
                <w:szCs w:val="22"/>
                <w:lang w:eastAsia="sk-SK"/>
              </w:rPr>
              <w:drawing>
                <wp:inline distT="0" distB="0" distL="0" distR="0" wp14:anchorId="3256EB86" wp14:editId="4B96359E">
                  <wp:extent cx="2114550" cy="1666875"/>
                  <wp:effectExtent l="0" t="0" r="0" b="9525"/>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8430" t="10363" r="6513" b="14081"/>
                          <a:stretch/>
                        </pic:blipFill>
                        <pic:spPr bwMode="auto">
                          <a:xfrm>
                            <a:off x="0" y="0"/>
                            <a:ext cx="2115631" cy="16677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rsidR="00E71603" w:rsidRPr="00E71603" w:rsidRDefault="00E71603" w:rsidP="00E71603">
            <w:pPr>
              <w:spacing w:after="240" w:line="276" w:lineRule="auto"/>
              <w:jc w:val="center"/>
              <w:rPr>
                <w:rFonts w:ascii="Times New Roman" w:hAnsi="Times New Roman"/>
                <w:b/>
                <w:i/>
                <w:sz w:val="22"/>
                <w:szCs w:val="22"/>
                <w:lang w:eastAsia="en-US"/>
              </w:rPr>
            </w:pPr>
            <w:r w:rsidRPr="00E71603">
              <w:rPr>
                <w:iCs/>
                <w:noProof/>
                <w:sz w:val="22"/>
                <w:szCs w:val="22"/>
                <w:lang w:eastAsia="sk-SK"/>
              </w:rPr>
              <w:drawing>
                <wp:inline distT="0" distB="0" distL="0" distR="0" wp14:anchorId="2B8FA82E" wp14:editId="4133B684">
                  <wp:extent cx="2028825" cy="1581150"/>
                  <wp:effectExtent l="0" t="0" r="9525"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28A0092B-C50C-407E-A947-70E740481C1C}">
                                <a14:useLocalDpi xmlns:a14="http://schemas.microsoft.com/office/drawing/2010/main" val="0"/>
                              </a:ext>
                            </a:extLst>
                          </a:blip>
                          <a:srcRect l="8333" t="8345" r="7143" b="18748"/>
                          <a:stretch/>
                        </pic:blipFill>
                        <pic:spPr bwMode="auto">
                          <a:xfrm>
                            <a:off x="0" y="0"/>
                            <a:ext cx="2030435" cy="15824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71603" w:rsidRPr="00E71603" w:rsidTr="00E71603">
        <w:trPr>
          <w:trHeight w:val="366"/>
        </w:trPr>
        <w:tc>
          <w:tcPr>
            <w:tcW w:w="2500" w:type="pct"/>
          </w:tcPr>
          <w:p w:rsidR="00E71603" w:rsidRPr="00E71603" w:rsidRDefault="00E71603" w:rsidP="00E71603">
            <w:pPr>
              <w:spacing w:after="120" w:line="276" w:lineRule="auto"/>
              <w:ind w:left="1735" w:hanging="1559"/>
              <w:jc w:val="both"/>
              <w:rPr>
                <w:rFonts w:ascii="Times New Roman" w:hAnsi="Times New Roman"/>
                <w:b/>
                <w:i/>
                <w:sz w:val="22"/>
                <w:szCs w:val="22"/>
                <w:lang w:eastAsia="en-US"/>
              </w:rPr>
            </w:pPr>
            <w:r w:rsidRPr="00E71603">
              <w:rPr>
                <w:rFonts w:ascii="Times New Roman" w:hAnsi="Times New Roman"/>
                <w:b/>
                <w:i/>
                <w:sz w:val="22"/>
                <w:szCs w:val="22"/>
                <w:lang w:eastAsia="en-US"/>
              </w:rPr>
              <w:t>Obr. 1.2  Štruktúra inštalovaného výkonu v ES SR v roku 2016</w:t>
            </w:r>
          </w:p>
        </w:tc>
        <w:tc>
          <w:tcPr>
            <w:tcW w:w="2500" w:type="pct"/>
          </w:tcPr>
          <w:p w:rsidR="00E71603" w:rsidRPr="00E71603" w:rsidRDefault="00E71603" w:rsidP="00E71603">
            <w:pPr>
              <w:spacing w:after="120" w:line="276" w:lineRule="auto"/>
              <w:ind w:left="2118" w:hanging="1984"/>
              <w:jc w:val="both"/>
              <w:rPr>
                <w:rFonts w:ascii="Times New Roman" w:hAnsi="Times New Roman"/>
                <w:b/>
                <w:i/>
                <w:sz w:val="22"/>
                <w:szCs w:val="22"/>
                <w:lang w:eastAsia="en-US"/>
              </w:rPr>
            </w:pPr>
            <w:r w:rsidRPr="00E71603">
              <w:rPr>
                <w:rFonts w:ascii="Times New Roman" w:hAnsi="Times New Roman"/>
                <w:b/>
                <w:i/>
                <w:sz w:val="22"/>
                <w:szCs w:val="22"/>
                <w:lang w:eastAsia="en-US"/>
              </w:rPr>
              <w:t>Obr. 1.3  Štruktúra výroby elektriny v ES SR v roku 2016</w:t>
            </w:r>
          </w:p>
        </w:tc>
      </w:tr>
    </w:tbl>
    <w:p w:rsidR="00E71603" w:rsidRPr="00E71603" w:rsidRDefault="00E71603" w:rsidP="00E71603">
      <w:pPr>
        <w:autoSpaceDE w:val="0"/>
        <w:autoSpaceDN w:val="0"/>
        <w:adjustRightInd w:val="0"/>
        <w:spacing w:after="240" w:line="276" w:lineRule="auto"/>
        <w:jc w:val="both"/>
        <w:rPr>
          <w:rFonts w:eastAsia="Calibri"/>
          <w:sz w:val="22"/>
          <w:szCs w:val="22"/>
          <w:lang w:eastAsia="en-US"/>
        </w:rPr>
      </w:pPr>
      <w:r w:rsidRPr="00E71603">
        <w:rPr>
          <w:rFonts w:eastAsia="Calibri"/>
          <w:sz w:val="22"/>
          <w:szCs w:val="22"/>
          <w:lang w:eastAsia="en-US"/>
        </w:rPr>
        <w:t>Vyradením dvoch blokov v elektrárni Vojany a jedného bloku v elektrárni Nováky v roku 2016 došlo k poklesu inštalovaného výkonu, ktorý nebol kompenzovaný uvedením nových zdrojov do prevádzky. Pokles bol 3,1 % z 8 095 MW (r. 2015) na 7 848 MW (r. 2016).</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Pokrývanie zaťaženia ES SR zdrojmi elektriny v deň maximálneho zaťaženia je zobrazené na nasledujúcom obrázku.</w:t>
      </w:r>
    </w:p>
    <w:p w:rsidR="00E71603" w:rsidRPr="00E71603" w:rsidRDefault="00E71603" w:rsidP="00E71603">
      <w:pPr>
        <w:autoSpaceDE w:val="0"/>
        <w:autoSpaceDN w:val="0"/>
        <w:adjustRightInd w:val="0"/>
        <w:spacing w:line="276" w:lineRule="auto"/>
        <w:jc w:val="center"/>
        <w:rPr>
          <w:rFonts w:ascii="Arial" w:hAnsi="Arial" w:cs="Arial"/>
          <w:iCs/>
          <w:sz w:val="22"/>
          <w:szCs w:val="22"/>
        </w:rPr>
      </w:pPr>
      <w:r w:rsidRPr="00E71603">
        <w:rPr>
          <w:rFonts w:ascii="Arial" w:hAnsi="Arial" w:cs="Arial"/>
          <w:iCs/>
          <w:noProof/>
          <w:sz w:val="22"/>
          <w:szCs w:val="22"/>
          <w:lang w:eastAsia="sk-SK"/>
        </w:rPr>
        <w:lastRenderedPageBreak/>
        <w:drawing>
          <wp:inline distT="0" distB="0" distL="0" distR="0" wp14:anchorId="2A859CA4" wp14:editId="62D714D8">
            <wp:extent cx="4229100" cy="3694387"/>
            <wp:effectExtent l="0" t="0" r="0" b="1905"/>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a:extLst>
                        <a:ext uri="{28A0092B-C50C-407E-A947-70E740481C1C}">
                          <a14:useLocalDpi xmlns:a14="http://schemas.microsoft.com/office/drawing/2010/main" val="0"/>
                        </a:ext>
                      </a:extLst>
                    </a:blip>
                    <a:srcRect r="6452" b="6692"/>
                    <a:stretch/>
                  </pic:blipFill>
                  <pic:spPr bwMode="auto">
                    <a:xfrm>
                      <a:off x="0" y="0"/>
                      <a:ext cx="4236375" cy="3700742"/>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after="120" w:line="276" w:lineRule="auto"/>
        <w:jc w:val="center"/>
        <w:rPr>
          <w:rFonts w:eastAsia="Calibri"/>
          <w:i/>
          <w:iCs/>
          <w:sz w:val="16"/>
          <w:szCs w:val="16"/>
          <w:lang w:eastAsia="en-US"/>
        </w:rPr>
      </w:pPr>
      <w:r w:rsidRPr="00E71603">
        <w:rPr>
          <w:rFonts w:eastAsia="Calibri"/>
          <w:i/>
          <w:iCs/>
          <w:sz w:val="16"/>
          <w:szCs w:val="16"/>
          <w:lang w:eastAsia="en-US"/>
        </w:rPr>
        <w:t xml:space="preserve">Poznámka: Kategórie zdrojov elektriny pre pokrývanie zaťaženia ES SR sú vykazované v štruktúre predchádzajúcich rokov  </w:t>
      </w:r>
    </w:p>
    <w:p w:rsidR="00E71603" w:rsidRPr="00E71603" w:rsidRDefault="00E71603" w:rsidP="00E71603">
      <w:pPr>
        <w:spacing w:line="276" w:lineRule="auto"/>
        <w:jc w:val="center"/>
        <w:rPr>
          <w:rFonts w:eastAsia="Calibri"/>
          <w:b/>
          <w:i/>
          <w:sz w:val="22"/>
          <w:szCs w:val="22"/>
          <w:lang w:eastAsia="en-US"/>
        </w:rPr>
      </w:pPr>
      <w:r w:rsidRPr="00E71603">
        <w:rPr>
          <w:rFonts w:eastAsia="Calibri"/>
          <w:b/>
          <w:i/>
          <w:sz w:val="22"/>
          <w:szCs w:val="22"/>
          <w:lang w:eastAsia="en-US"/>
        </w:rPr>
        <w:t>Obr. 1.4  Priebeh zaťaženia a jeho pokrývanie v dni maxima roku 2016</w:t>
      </w:r>
    </w:p>
    <w:p w:rsidR="00E71603" w:rsidRPr="00E71603" w:rsidRDefault="00E71603" w:rsidP="00E71603">
      <w:pPr>
        <w:spacing w:line="276" w:lineRule="auto"/>
        <w:jc w:val="center"/>
        <w:rPr>
          <w:rFonts w:eastAsia="Calibri"/>
          <w:b/>
          <w:i/>
          <w:iCs/>
          <w:sz w:val="22"/>
          <w:szCs w:val="22"/>
          <w:lang w:eastAsia="en-US"/>
        </w:rPr>
      </w:pPr>
    </w:p>
    <w:p w:rsidR="00E71603" w:rsidRPr="00E71603" w:rsidRDefault="00E71603" w:rsidP="00E71603">
      <w:pPr>
        <w:spacing w:after="120" w:line="276" w:lineRule="auto"/>
        <w:jc w:val="both"/>
        <w:rPr>
          <w:rFonts w:eastAsia="Calibri"/>
          <w:iCs/>
          <w:sz w:val="22"/>
          <w:szCs w:val="22"/>
          <w:lang w:eastAsia="en-US"/>
        </w:rPr>
      </w:pPr>
      <w:r w:rsidRPr="00E71603">
        <w:rPr>
          <w:rFonts w:eastAsia="Calibri"/>
          <w:iCs/>
          <w:sz w:val="22"/>
          <w:szCs w:val="22"/>
          <w:lang w:eastAsia="en-US"/>
        </w:rPr>
        <w:t xml:space="preserve">PS SR bola v roku 2016 zaťažovaná fyzikálnymi tranzitnými tokmi elektriny, väčšinu času z roka v smere zo severu, resp. severozápadu na juh, resp. juhovýchod, čo graficky dokumentuje aj obr. 1.5. Dôsledkami tranzitných tokov, s ktorými sa prevádzkovateľ PS musí </w:t>
      </w:r>
      <w:proofErr w:type="spellStart"/>
      <w:r w:rsidRPr="00E71603">
        <w:rPr>
          <w:rFonts w:eastAsia="Calibri"/>
          <w:iCs/>
          <w:sz w:val="22"/>
          <w:szCs w:val="22"/>
          <w:lang w:eastAsia="en-US"/>
        </w:rPr>
        <w:t>vysporiadať</w:t>
      </w:r>
      <w:proofErr w:type="spellEnd"/>
      <w:r w:rsidRPr="00E71603">
        <w:rPr>
          <w:rFonts w:eastAsia="Calibri"/>
          <w:iCs/>
          <w:sz w:val="22"/>
          <w:szCs w:val="22"/>
          <w:lang w:eastAsia="en-US"/>
        </w:rPr>
        <w:t>, sú zvýšené nároky na zaistenie bezpečnej a spoľahlivej prevádzky PS SR a zvýšené straty na prenosových zariadeniach v PS SR.</w:t>
      </w: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t>Príčiny vzniku tranzitných tokov sú:</w:t>
      </w:r>
    </w:p>
    <w:p w:rsidR="00E71603" w:rsidRPr="00E71603" w:rsidRDefault="00E71603" w:rsidP="00E71603">
      <w:pPr>
        <w:numPr>
          <w:ilvl w:val="1"/>
          <w:numId w:val="29"/>
        </w:numPr>
        <w:spacing w:after="120" w:line="276" w:lineRule="auto"/>
        <w:ind w:left="709" w:hanging="284"/>
        <w:jc w:val="both"/>
        <w:rPr>
          <w:rFonts w:eastAsia="Calibri"/>
          <w:sz w:val="22"/>
          <w:szCs w:val="22"/>
          <w:lang w:eastAsia="en-US"/>
        </w:rPr>
      </w:pPr>
      <w:r w:rsidRPr="00E71603">
        <w:rPr>
          <w:rFonts w:eastAsia="Calibri"/>
          <w:sz w:val="22"/>
          <w:szCs w:val="22"/>
          <w:lang w:eastAsia="en-US"/>
        </w:rPr>
        <w:t>výroba elektriny z OZE s vysokým celkovým inštalovaným výkonom na severozápade Európy – prenášanie elektriny na veľké vzdialenosti do miesta jej spotreby,</w:t>
      </w:r>
    </w:p>
    <w:p w:rsidR="00E71603" w:rsidRPr="00E71603" w:rsidRDefault="00E71603" w:rsidP="00E71603">
      <w:pPr>
        <w:numPr>
          <w:ilvl w:val="1"/>
          <w:numId w:val="29"/>
        </w:numPr>
        <w:spacing w:after="120" w:line="276" w:lineRule="auto"/>
        <w:ind w:left="709" w:hanging="284"/>
        <w:jc w:val="both"/>
        <w:rPr>
          <w:rFonts w:eastAsia="Calibri"/>
          <w:sz w:val="22"/>
          <w:szCs w:val="22"/>
          <w:lang w:eastAsia="en-US"/>
        </w:rPr>
      </w:pPr>
      <w:r w:rsidRPr="00E71603">
        <w:rPr>
          <w:rFonts w:eastAsia="Calibri"/>
          <w:sz w:val="22"/>
          <w:szCs w:val="22"/>
          <w:lang w:eastAsia="en-US"/>
        </w:rPr>
        <w:t>import elektriny krajín v juhovýchodnej časti Európy - zvýšenie vzdialenosti medzi miestami výroby a spotreby,</w:t>
      </w:r>
    </w:p>
    <w:p w:rsidR="00E71603" w:rsidRPr="00E71603" w:rsidRDefault="00E71603" w:rsidP="00E71603">
      <w:pPr>
        <w:numPr>
          <w:ilvl w:val="1"/>
          <w:numId w:val="29"/>
        </w:numPr>
        <w:spacing w:after="120" w:line="276" w:lineRule="auto"/>
        <w:ind w:left="709" w:hanging="284"/>
        <w:jc w:val="both"/>
        <w:rPr>
          <w:rFonts w:eastAsia="Calibri"/>
          <w:sz w:val="22"/>
          <w:szCs w:val="22"/>
          <w:lang w:eastAsia="en-US"/>
        </w:rPr>
      </w:pPr>
      <w:r w:rsidRPr="00E71603">
        <w:rPr>
          <w:rFonts w:eastAsia="Calibri"/>
          <w:sz w:val="22"/>
          <w:szCs w:val="22"/>
          <w:lang w:eastAsia="en-US"/>
        </w:rPr>
        <w:t>konfigurácia obchodných zón na trhu s elektrinou v rámci Európy,</w:t>
      </w:r>
    </w:p>
    <w:p w:rsidR="00E71603" w:rsidRPr="00E71603" w:rsidRDefault="00E71603" w:rsidP="00E71603">
      <w:pPr>
        <w:numPr>
          <w:ilvl w:val="1"/>
          <w:numId w:val="29"/>
        </w:numPr>
        <w:spacing w:after="120" w:line="276" w:lineRule="auto"/>
        <w:ind w:left="709" w:hanging="284"/>
        <w:jc w:val="both"/>
        <w:rPr>
          <w:rFonts w:eastAsia="Calibri"/>
          <w:sz w:val="22"/>
          <w:szCs w:val="22"/>
          <w:lang w:eastAsia="en-US"/>
        </w:rPr>
      </w:pPr>
      <w:r w:rsidRPr="00E71603">
        <w:rPr>
          <w:rFonts w:eastAsia="Calibri"/>
          <w:sz w:val="22"/>
          <w:szCs w:val="22"/>
          <w:lang w:eastAsia="en-US"/>
        </w:rPr>
        <w:t>vysoký export elektriny z krajín susediacich so SR na severozápade,</w:t>
      </w:r>
    </w:p>
    <w:p w:rsidR="00E71603" w:rsidRPr="00E71603" w:rsidRDefault="00E71603" w:rsidP="00E71603">
      <w:pPr>
        <w:numPr>
          <w:ilvl w:val="1"/>
          <w:numId w:val="29"/>
        </w:numPr>
        <w:spacing w:after="240" w:line="276" w:lineRule="auto"/>
        <w:ind w:left="709" w:hanging="284"/>
        <w:jc w:val="both"/>
        <w:rPr>
          <w:rFonts w:eastAsia="Calibri"/>
          <w:sz w:val="22"/>
          <w:szCs w:val="22"/>
          <w:lang w:eastAsia="en-US"/>
        </w:rPr>
      </w:pPr>
      <w:proofErr w:type="spellStart"/>
      <w:r w:rsidRPr="00E71603">
        <w:rPr>
          <w:rFonts w:eastAsia="Calibri"/>
          <w:sz w:val="22"/>
          <w:szCs w:val="22"/>
          <w:lang w:eastAsia="en-US"/>
        </w:rPr>
        <w:t>topológia</w:t>
      </w:r>
      <w:proofErr w:type="spellEnd"/>
      <w:r w:rsidRPr="00E71603">
        <w:rPr>
          <w:rFonts w:eastAsia="Calibri"/>
          <w:sz w:val="22"/>
          <w:szCs w:val="22"/>
          <w:lang w:eastAsia="en-US"/>
        </w:rPr>
        <w:t xml:space="preserve"> jednotlivých prenosových sústav Európy.</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 xml:space="preserve">Prevádzkovateľ PS SR má obmedzené možnosti čo sa týka nápravných opatrení pre obmedzenie tranzitných tokov. Pre zaistenie prevádzkovej bezpečnosti a spoľahlivosti ES SR pri zvýšených tranzitných tokoch a ich dopadoch na ES SR je jedným z krajných, rizikových a neekonomických dispečerských opatrení, </w:t>
      </w:r>
      <w:proofErr w:type="spellStart"/>
      <w:r w:rsidRPr="00E71603">
        <w:rPr>
          <w:rFonts w:eastAsia="Calibri"/>
          <w:sz w:val="22"/>
          <w:szCs w:val="22"/>
          <w:lang w:eastAsia="en-US"/>
        </w:rPr>
        <w:t>rekonfigurácia</w:t>
      </w:r>
      <w:proofErr w:type="spellEnd"/>
      <w:r w:rsidRPr="00E71603">
        <w:rPr>
          <w:rFonts w:eastAsia="Calibri"/>
          <w:sz w:val="22"/>
          <w:szCs w:val="22"/>
          <w:lang w:eastAsia="en-US"/>
        </w:rPr>
        <w:t xml:space="preserve"> PS SR, t. j. zmena </w:t>
      </w:r>
      <w:proofErr w:type="spellStart"/>
      <w:r w:rsidRPr="00E71603">
        <w:rPr>
          <w:rFonts w:eastAsia="Calibri"/>
          <w:sz w:val="22"/>
          <w:szCs w:val="22"/>
          <w:lang w:eastAsia="en-US"/>
        </w:rPr>
        <w:t>topológie</w:t>
      </w:r>
      <w:proofErr w:type="spellEnd"/>
      <w:r w:rsidRPr="00E71603">
        <w:rPr>
          <w:rFonts w:eastAsia="Calibri"/>
          <w:sz w:val="22"/>
          <w:szCs w:val="22"/>
          <w:lang w:eastAsia="en-US"/>
        </w:rPr>
        <w:t xml:space="preserve"> PS SR za účelom zaistenia bezpečnej a spoľahlivej prevádzky PS SR.</w:t>
      </w: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t>Za rok 2016 dosiahol objem fyzických tranzitných tokov cez PS SR hodnotu 10 598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(obr. 1.7), čo je oproti roku 2015 pokles približne o 16 %, v porovnaní s maximálnou hodnotou 13 080 </w:t>
      </w:r>
      <w:proofErr w:type="spellStart"/>
      <w:r w:rsidRPr="00E71603">
        <w:rPr>
          <w:rFonts w:eastAsia="Calibri"/>
          <w:sz w:val="22"/>
          <w:szCs w:val="22"/>
          <w:lang w:eastAsia="en-US"/>
        </w:rPr>
        <w:t>GWh</w:t>
      </w:r>
      <w:proofErr w:type="spellEnd"/>
      <w:r w:rsidRPr="00E71603">
        <w:rPr>
          <w:rFonts w:eastAsia="Calibri"/>
          <w:sz w:val="22"/>
          <w:szCs w:val="22"/>
          <w:lang w:eastAsia="en-US"/>
        </w:rPr>
        <w:t xml:space="preserve"> v roku 2012 je to pokles o 19 %. Narastajúci trend tranzitných tokov v niektorých PS v regióne </w:t>
      </w:r>
      <w:proofErr w:type="spellStart"/>
      <w:r w:rsidRPr="00E71603">
        <w:rPr>
          <w:rFonts w:eastAsia="Calibri"/>
          <w:sz w:val="22"/>
          <w:szCs w:val="22"/>
          <w:lang w:eastAsia="en-US"/>
        </w:rPr>
        <w:lastRenderedPageBreak/>
        <w:t>Central</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Eastern</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Europe</w:t>
      </w:r>
      <w:proofErr w:type="spellEnd"/>
      <w:r w:rsidRPr="00E71603">
        <w:rPr>
          <w:rFonts w:eastAsia="Calibri"/>
          <w:sz w:val="22"/>
          <w:szCs w:val="22"/>
          <w:lang w:eastAsia="en-US"/>
        </w:rPr>
        <w:t xml:space="preserve"> v rokoch 2012 až 2015 mal za následok aplikácie nápravných opatrení u tých prevádzkovateľov PS, ktorí mali so zaistením bezpečnej prevádzky PS pri neustále sa zvyšujúcich tranzitných tokoch najväčšie ťažkosti. Pokles v roku 2016 mohol byť preto spôsobený:</w:t>
      </w:r>
    </w:p>
    <w:p w:rsidR="00E71603" w:rsidRPr="00E71603" w:rsidRDefault="00E71603" w:rsidP="00E71603">
      <w:pPr>
        <w:numPr>
          <w:ilvl w:val="0"/>
          <w:numId w:val="30"/>
        </w:numPr>
        <w:spacing w:after="120" w:line="276" w:lineRule="auto"/>
        <w:ind w:left="709" w:hanging="284"/>
        <w:jc w:val="both"/>
        <w:rPr>
          <w:rFonts w:eastAsia="Calibri"/>
          <w:sz w:val="22"/>
          <w:szCs w:val="22"/>
          <w:lang w:eastAsia="en-US"/>
        </w:rPr>
      </w:pPr>
      <w:r w:rsidRPr="00E71603">
        <w:rPr>
          <w:rFonts w:eastAsia="Calibri"/>
          <w:sz w:val="22"/>
          <w:szCs w:val="22"/>
          <w:lang w:eastAsia="en-US"/>
        </w:rPr>
        <w:t xml:space="preserve">uvedením transformátorov s reguláciou fázového uhla (tzv. </w:t>
      </w:r>
      <w:proofErr w:type="spellStart"/>
      <w:r w:rsidRPr="00E71603">
        <w:rPr>
          <w:rFonts w:eastAsia="Calibri"/>
          <w:sz w:val="22"/>
          <w:szCs w:val="22"/>
          <w:lang w:eastAsia="en-US"/>
        </w:rPr>
        <w:t>Phase</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Shifting</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Transformer</w:t>
      </w:r>
      <w:proofErr w:type="spellEnd"/>
      <w:r w:rsidRPr="00E71603">
        <w:rPr>
          <w:rFonts w:eastAsia="Calibri"/>
          <w:sz w:val="22"/>
          <w:szCs w:val="22"/>
          <w:lang w:eastAsia="en-US"/>
        </w:rPr>
        <w:t xml:space="preserve"> – PST) do prevádzky na poľsko-nemeckom profile, na 2x400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vedení </w:t>
      </w:r>
      <w:proofErr w:type="spellStart"/>
      <w:r w:rsidRPr="00E71603">
        <w:rPr>
          <w:rFonts w:eastAsia="Calibri"/>
          <w:sz w:val="22"/>
          <w:szCs w:val="22"/>
          <w:lang w:eastAsia="en-US"/>
        </w:rPr>
        <w:t>Mikulowa</w:t>
      </w:r>
      <w:proofErr w:type="spellEnd"/>
      <w:r w:rsidRPr="00E71603">
        <w:rPr>
          <w:rFonts w:eastAsia="Calibri"/>
          <w:sz w:val="22"/>
          <w:szCs w:val="22"/>
          <w:lang w:eastAsia="en-US"/>
        </w:rPr>
        <w:t xml:space="preserve"> – </w:t>
      </w:r>
      <w:proofErr w:type="spellStart"/>
      <w:r w:rsidRPr="00E71603">
        <w:rPr>
          <w:rFonts w:eastAsia="Calibri"/>
          <w:sz w:val="22"/>
          <w:szCs w:val="22"/>
          <w:lang w:eastAsia="en-US"/>
        </w:rPr>
        <w:t>Hagenwerder</w:t>
      </w:r>
      <w:proofErr w:type="spellEnd"/>
      <w:r w:rsidRPr="00E71603">
        <w:rPr>
          <w:rFonts w:eastAsia="Calibri"/>
          <w:sz w:val="22"/>
          <w:szCs w:val="22"/>
          <w:lang w:eastAsia="en-US"/>
        </w:rPr>
        <w:t> koncom roka 2015 (december 2015);</w:t>
      </w:r>
    </w:p>
    <w:p w:rsidR="00E71603" w:rsidRPr="00E71603" w:rsidRDefault="00E71603" w:rsidP="00E71603">
      <w:pPr>
        <w:numPr>
          <w:ilvl w:val="0"/>
          <w:numId w:val="30"/>
        </w:numPr>
        <w:spacing w:after="120" w:line="276" w:lineRule="auto"/>
        <w:ind w:left="709" w:hanging="284"/>
        <w:jc w:val="both"/>
        <w:rPr>
          <w:rFonts w:eastAsia="Calibri"/>
          <w:sz w:val="22"/>
          <w:szCs w:val="22"/>
          <w:lang w:eastAsia="en-US"/>
        </w:rPr>
      </w:pPr>
      <w:r w:rsidRPr="00E71603">
        <w:rPr>
          <w:rFonts w:eastAsia="Calibri"/>
          <w:sz w:val="22"/>
          <w:szCs w:val="22"/>
          <w:lang w:eastAsia="en-US"/>
        </w:rPr>
        <w:t>vypnutím cezhraničného vedenia 2x220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Krajnik</w:t>
      </w:r>
      <w:proofErr w:type="spellEnd"/>
      <w:r w:rsidRPr="00E71603">
        <w:rPr>
          <w:rFonts w:eastAsia="Calibri"/>
          <w:sz w:val="22"/>
          <w:szCs w:val="22"/>
          <w:lang w:eastAsia="en-US"/>
        </w:rPr>
        <w:t xml:space="preserve"> – </w:t>
      </w:r>
      <w:proofErr w:type="spellStart"/>
      <w:r w:rsidRPr="00E71603">
        <w:rPr>
          <w:rFonts w:eastAsia="Calibri"/>
          <w:sz w:val="22"/>
          <w:szCs w:val="22"/>
          <w:lang w:eastAsia="en-US"/>
        </w:rPr>
        <w:t>Vierraden</w:t>
      </w:r>
      <w:proofErr w:type="spellEnd"/>
      <w:r w:rsidRPr="00E71603">
        <w:rPr>
          <w:rFonts w:eastAsia="Calibri"/>
          <w:sz w:val="22"/>
          <w:szCs w:val="22"/>
          <w:lang w:eastAsia="en-US"/>
        </w:rPr>
        <w:t xml:space="preserve"> (od júna 2016), z dôvodu </w:t>
      </w:r>
      <w:proofErr w:type="spellStart"/>
      <w:r w:rsidRPr="00E71603">
        <w:rPr>
          <w:rFonts w:eastAsia="Calibri"/>
          <w:sz w:val="22"/>
          <w:szCs w:val="22"/>
          <w:lang w:eastAsia="en-US"/>
        </w:rPr>
        <w:t>upgradu</w:t>
      </w:r>
      <w:proofErr w:type="spellEnd"/>
      <w:r w:rsidRPr="00E71603">
        <w:rPr>
          <w:rFonts w:eastAsia="Calibri"/>
          <w:sz w:val="22"/>
          <w:szCs w:val="22"/>
          <w:lang w:eastAsia="en-US"/>
        </w:rPr>
        <w:t xml:space="preserve"> 220 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sústavy v danej oblasti na 400 </w:t>
      </w:r>
      <w:proofErr w:type="spellStart"/>
      <w:r w:rsidRPr="00E71603">
        <w:rPr>
          <w:rFonts w:eastAsia="Calibri"/>
          <w:sz w:val="22"/>
          <w:szCs w:val="22"/>
          <w:lang w:eastAsia="en-US"/>
        </w:rPr>
        <w:t>kV</w:t>
      </w:r>
      <w:proofErr w:type="spellEnd"/>
      <w:r w:rsidRPr="00E71603">
        <w:rPr>
          <w:rFonts w:eastAsia="Calibri"/>
          <w:sz w:val="22"/>
          <w:szCs w:val="22"/>
          <w:lang w:eastAsia="en-US"/>
        </w:rPr>
        <w:t>, aby mohli byť uvedené do prevádzky PST transformátory na poľsko-nemeckom profile, na 2x400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vedení </w:t>
      </w:r>
      <w:proofErr w:type="spellStart"/>
      <w:r w:rsidRPr="00E71603">
        <w:rPr>
          <w:rFonts w:eastAsia="Calibri"/>
          <w:sz w:val="22"/>
          <w:szCs w:val="22"/>
          <w:lang w:eastAsia="en-US"/>
        </w:rPr>
        <w:t>Krajnik</w:t>
      </w:r>
      <w:proofErr w:type="spellEnd"/>
      <w:r w:rsidRPr="00E71603">
        <w:rPr>
          <w:rFonts w:eastAsia="Calibri"/>
          <w:sz w:val="22"/>
          <w:szCs w:val="22"/>
          <w:lang w:eastAsia="en-US"/>
        </w:rPr>
        <w:t xml:space="preserve"> – </w:t>
      </w:r>
      <w:proofErr w:type="spellStart"/>
      <w:r w:rsidRPr="00E71603">
        <w:rPr>
          <w:rFonts w:eastAsia="Calibri"/>
          <w:sz w:val="22"/>
          <w:szCs w:val="22"/>
          <w:lang w:eastAsia="en-US"/>
        </w:rPr>
        <w:t>Vierraden</w:t>
      </w:r>
      <w:proofErr w:type="spellEnd"/>
      <w:r w:rsidRPr="00E71603">
        <w:rPr>
          <w:rFonts w:eastAsia="Calibri"/>
          <w:sz w:val="22"/>
          <w:szCs w:val="22"/>
          <w:lang w:eastAsia="en-US"/>
        </w:rPr>
        <w:t>;</w:t>
      </w:r>
    </w:p>
    <w:p w:rsidR="00E71603" w:rsidRPr="00E71603" w:rsidRDefault="00E71603" w:rsidP="00E71603">
      <w:pPr>
        <w:numPr>
          <w:ilvl w:val="0"/>
          <w:numId w:val="30"/>
        </w:numPr>
        <w:spacing w:after="120" w:line="276" w:lineRule="auto"/>
        <w:ind w:left="709" w:hanging="284"/>
        <w:jc w:val="both"/>
        <w:rPr>
          <w:rFonts w:eastAsia="Calibri"/>
          <w:sz w:val="22"/>
          <w:szCs w:val="22"/>
          <w:lang w:eastAsia="en-US"/>
        </w:rPr>
      </w:pPr>
      <w:r w:rsidRPr="00E71603">
        <w:rPr>
          <w:rFonts w:eastAsia="Calibri"/>
          <w:sz w:val="22"/>
          <w:szCs w:val="22"/>
          <w:lang w:eastAsia="en-US"/>
        </w:rPr>
        <w:t>uvedením do prevádzky nových prenosových vedení vo vnútornej časti PS Nemecka, konkrétne nového vedenia 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Altenfeld</w:t>
      </w:r>
      <w:proofErr w:type="spellEnd"/>
      <w:r w:rsidRPr="00E71603">
        <w:rPr>
          <w:rFonts w:eastAsia="Calibri"/>
          <w:sz w:val="22"/>
          <w:szCs w:val="22"/>
          <w:lang w:eastAsia="en-US"/>
        </w:rPr>
        <w:t xml:space="preserve"> – </w:t>
      </w:r>
      <w:proofErr w:type="spellStart"/>
      <w:r w:rsidRPr="00E71603">
        <w:rPr>
          <w:rFonts w:eastAsia="Calibri"/>
          <w:sz w:val="22"/>
          <w:szCs w:val="22"/>
          <w:lang w:eastAsia="en-US"/>
        </w:rPr>
        <w:t>Redwitz</w:t>
      </w:r>
      <w:proofErr w:type="spellEnd"/>
      <w:r w:rsidRPr="00E71603">
        <w:rPr>
          <w:rFonts w:eastAsia="Calibri"/>
          <w:sz w:val="22"/>
          <w:szCs w:val="22"/>
          <w:lang w:eastAsia="en-US"/>
        </w:rPr>
        <w:t xml:space="preserve"> (december 2015). Druhý poťah tohto vedenia sa plánuje uviesť do prevádzky v polovici roku 2017.</w:t>
      </w:r>
    </w:p>
    <w:p w:rsidR="00E71603" w:rsidRPr="00E71603" w:rsidRDefault="00E71603" w:rsidP="00E71603">
      <w:pPr>
        <w:spacing w:line="276" w:lineRule="auto"/>
        <w:jc w:val="both"/>
        <w:rPr>
          <w:rFonts w:eastAsia="Calibri"/>
          <w:sz w:val="22"/>
          <w:szCs w:val="22"/>
          <w:lang w:eastAsia="en-US"/>
        </w:rPr>
      </w:pP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Keďže PST na česko-nemeckom profile na jednom poťahu 2x400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vedenia Hradec Východ – </w:t>
      </w:r>
      <w:proofErr w:type="spellStart"/>
      <w:r w:rsidRPr="00E71603">
        <w:rPr>
          <w:rFonts w:eastAsia="Calibri"/>
          <w:sz w:val="22"/>
          <w:szCs w:val="22"/>
          <w:lang w:eastAsia="en-US"/>
        </w:rPr>
        <w:t>Röhrsdorf</w:t>
      </w:r>
      <w:proofErr w:type="spellEnd"/>
      <w:r w:rsidRPr="00E71603">
        <w:rPr>
          <w:rFonts w:eastAsia="Calibri"/>
          <w:sz w:val="22"/>
          <w:szCs w:val="22"/>
          <w:lang w:eastAsia="en-US"/>
        </w:rPr>
        <w:t xml:space="preserve"> bol uvedený do prevádzky v decembri 2016, jeho vplyv na tranzitné toky sa prejaví najskôr v roku 2017. Na druhom poťahu tohto vedenia je v pláne inštalovať PST v polovici roku 2017.</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Dobrým koncepčným rozvojovým signálom ohľadom znižovania tranzitných tokov je posilňovanie vnútornej nemeckej PS výstavbou nových 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vedení, čoho následkom by mala byť ďalšia eliminácia kruhových tranzitných tokov, ktoré ohrozujú bezpečnosť prevádzky okolitých PS. V konečnom dôsledku by sa objemy a smer reálnych tokov elektriny (zobrazené červenou na obr. 1.5) mali výrazne priblížiť obchodným tokom elektriny (zobrazené tmavosivou na obr. 1.5). Reálne toky elektriny tak nebudú prechádzať cez okolité PS, ale cez tie profily, na ktorých boli obchodne dohodnuté.</w:t>
      </w:r>
    </w:p>
    <w:p w:rsidR="00E71603" w:rsidRPr="00E71603" w:rsidRDefault="00E71603" w:rsidP="00E71603">
      <w:pPr>
        <w:spacing w:line="276" w:lineRule="auto"/>
        <w:jc w:val="center"/>
        <w:rPr>
          <w:rFonts w:eastAsia="Calibri"/>
          <w:sz w:val="22"/>
          <w:szCs w:val="22"/>
          <w:lang w:eastAsia="en-US"/>
        </w:rPr>
      </w:pPr>
      <w:r w:rsidRPr="00E71603">
        <w:rPr>
          <w:rFonts w:eastAsia="Calibri"/>
          <w:noProof/>
          <w:sz w:val="22"/>
          <w:szCs w:val="22"/>
          <w:lang w:eastAsia="sk-SK"/>
        </w:rPr>
        <w:drawing>
          <wp:inline distT="0" distB="0" distL="0" distR="0" wp14:anchorId="488056F5" wp14:editId="7E94DAAE">
            <wp:extent cx="2533650" cy="2327075"/>
            <wp:effectExtent l="0" t="0" r="0" b="0"/>
            <wp:docPr id="48"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2"/>
                    <pic:cNvPicPr>
                      <a:picLocks noChangeAspect="1"/>
                    </pic:cNvPicPr>
                  </pic:nvPicPr>
                  <pic:blipFill rotWithShape="1">
                    <a:blip r:embed="rId20" cstate="print">
                      <a:extLst>
                        <a:ext uri="{28A0092B-C50C-407E-A947-70E740481C1C}">
                          <a14:useLocalDpi xmlns:a14="http://schemas.microsoft.com/office/drawing/2010/main" val="0"/>
                        </a:ext>
                      </a:extLst>
                    </a:blip>
                    <a:srcRect t="2018"/>
                    <a:stretch/>
                  </pic:blipFill>
                  <pic:spPr bwMode="auto">
                    <a:xfrm>
                      <a:off x="0" y="0"/>
                      <a:ext cx="2545915" cy="2338340"/>
                    </a:xfrm>
                    <a:prstGeom prst="rect">
                      <a:avLst/>
                    </a:prstGeom>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after="240" w:line="276" w:lineRule="auto"/>
        <w:jc w:val="center"/>
        <w:rPr>
          <w:rFonts w:eastAsia="Calibri"/>
          <w:sz w:val="22"/>
          <w:szCs w:val="22"/>
          <w:lang w:eastAsia="en-US"/>
        </w:rPr>
      </w:pPr>
      <w:r w:rsidRPr="00E71603">
        <w:rPr>
          <w:rFonts w:eastAsia="Calibri"/>
          <w:b/>
          <w:i/>
          <w:sz w:val="22"/>
          <w:szCs w:val="22"/>
          <w:lang w:eastAsia="en-US"/>
        </w:rPr>
        <w:t>Obr. 1.5  Zobrazenie súčasného stavu problematiky kruhových tranzitných tokov</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 xml:space="preserve">Je nutné poznamenať, že sumárny objem tranzitných tokov za rok 2016 poklesol, ale v niektorých hodinách  roku sa stále vyskytovali také vysoké hodnoty tranzitných tokov (obr. 1.6 a tab. 1.2), pri ktorých musel prevádzkovateľ PS SR za účelom zaistenia bezpečnej a spoľahlivej prevádzky sústavy SR aplikovať operatívne rizikové nápravné opatrenia, ako sú </w:t>
      </w:r>
      <w:proofErr w:type="spellStart"/>
      <w:r w:rsidRPr="00E71603">
        <w:rPr>
          <w:rFonts w:eastAsia="Calibri"/>
          <w:sz w:val="22"/>
          <w:szCs w:val="22"/>
          <w:lang w:eastAsia="en-US"/>
        </w:rPr>
        <w:t>rekonfigurácie</w:t>
      </w:r>
      <w:proofErr w:type="spellEnd"/>
      <w:r w:rsidRPr="00E71603">
        <w:rPr>
          <w:rFonts w:eastAsia="Calibri"/>
          <w:sz w:val="22"/>
          <w:szCs w:val="22"/>
          <w:lang w:eastAsia="en-US"/>
        </w:rPr>
        <w:t>. Z pohľadu absolútnych hodnôt dosiahli okamžité toky v roku 2016 maximálnu hodnotu 2 581 MW, čo predstavuje 115 % minimálneho zaťaženia, resp. 59 % maximálneho zaťaženia ES SR. Pre porovnanie, v roku 2015 dosiahli maximálne okamžité toky hodnotu 2631 MW.</w:t>
      </w:r>
    </w:p>
    <w:p w:rsidR="00E71603" w:rsidRPr="00E71603" w:rsidRDefault="00E71603" w:rsidP="00E71603">
      <w:pPr>
        <w:spacing w:after="240" w:line="276" w:lineRule="auto"/>
        <w:jc w:val="both"/>
        <w:rPr>
          <w:rFonts w:eastAsia="Calibri"/>
          <w:sz w:val="22"/>
          <w:szCs w:val="22"/>
          <w:lang w:eastAsia="en-US"/>
        </w:rPr>
      </w:pPr>
      <w:r w:rsidRPr="00E71603">
        <w:rPr>
          <w:rFonts w:eastAsia="Calibri"/>
          <w:sz w:val="22"/>
          <w:szCs w:val="22"/>
          <w:lang w:eastAsia="en-US"/>
        </w:rPr>
        <w:lastRenderedPageBreak/>
        <w:t>Problematike neplánovaných a tranzitných tokov z hľadiska opatrení pre zabezpečenie bezpečnej a spoľahlivej prevádzky sa venuje kapitola č. 5 Bezpečnosť a spoľahlivosť prevádzky elektrizačnej sústavy.</w:t>
      </w:r>
    </w:p>
    <w:p w:rsidR="00E71603" w:rsidRPr="00E71603" w:rsidRDefault="00E71603" w:rsidP="00E71603">
      <w:pPr>
        <w:spacing w:line="276" w:lineRule="auto"/>
        <w:jc w:val="center"/>
        <w:rPr>
          <w:rFonts w:eastAsia="Calibri"/>
          <w:sz w:val="22"/>
          <w:szCs w:val="22"/>
          <w:lang w:eastAsia="en-US"/>
        </w:rPr>
      </w:pPr>
      <w:r w:rsidRPr="00E71603">
        <w:rPr>
          <w:rFonts w:ascii="Arial" w:eastAsia="Calibri" w:hAnsi="Arial" w:cs="Arial"/>
          <w:noProof/>
          <w:sz w:val="22"/>
          <w:szCs w:val="22"/>
          <w:lang w:eastAsia="sk-SK"/>
        </w:rPr>
        <w:drawing>
          <wp:inline distT="0" distB="0" distL="0" distR="0" wp14:anchorId="72F35E30" wp14:editId="7D7153BD">
            <wp:extent cx="5038725" cy="3276600"/>
            <wp:effectExtent l="0" t="0" r="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60" b="1596"/>
                    <a:stretch/>
                  </pic:blipFill>
                  <pic:spPr bwMode="auto">
                    <a:xfrm>
                      <a:off x="0" y="0"/>
                      <a:ext cx="5039015" cy="3276789"/>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line="276" w:lineRule="auto"/>
        <w:jc w:val="center"/>
        <w:rPr>
          <w:rFonts w:eastAsia="Calibri"/>
          <w:b/>
          <w:i/>
          <w:sz w:val="22"/>
          <w:szCs w:val="22"/>
          <w:lang w:eastAsia="en-US"/>
        </w:rPr>
      </w:pPr>
      <w:r w:rsidRPr="00E71603">
        <w:rPr>
          <w:rFonts w:eastAsia="Calibri"/>
          <w:b/>
          <w:i/>
          <w:sz w:val="22"/>
          <w:szCs w:val="22"/>
          <w:lang w:eastAsia="en-US"/>
        </w:rPr>
        <w:t>Obr. 1.6  Krivky trvania tranzitných výkonov v PS SR za vybrané roky od 2010 do 2016</w:t>
      </w:r>
    </w:p>
    <w:p w:rsidR="00E71603" w:rsidRPr="00E71603" w:rsidRDefault="00E71603" w:rsidP="00E71603">
      <w:pPr>
        <w:spacing w:line="276" w:lineRule="auto"/>
        <w:rPr>
          <w:rFonts w:eastAsia="Calibri"/>
          <w:b/>
          <w:i/>
          <w:sz w:val="22"/>
          <w:szCs w:val="22"/>
          <w:lang w:eastAsia="en-US"/>
        </w:rPr>
      </w:pPr>
    </w:p>
    <w:p w:rsidR="00E71603" w:rsidRPr="00E71603" w:rsidRDefault="00E71603" w:rsidP="00E71603">
      <w:pPr>
        <w:spacing w:line="276" w:lineRule="auto"/>
        <w:rPr>
          <w:rFonts w:eastAsia="Calibri"/>
          <w:b/>
          <w:i/>
          <w:sz w:val="22"/>
          <w:szCs w:val="22"/>
          <w:lang w:eastAsia="en-US"/>
        </w:rPr>
      </w:pPr>
      <w:r w:rsidRPr="00E71603">
        <w:rPr>
          <w:rFonts w:eastAsia="Calibri"/>
          <w:b/>
          <w:i/>
          <w:sz w:val="22"/>
          <w:szCs w:val="22"/>
          <w:lang w:eastAsia="en-US"/>
        </w:rPr>
        <w:t>Tab. 1.2  Priemerné a maximálne hodnoty tranzitu cez PS SR za roky 2010 – 2016 [MW]</w:t>
      </w:r>
    </w:p>
    <w:p w:rsidR="00E71603" w:rsidRPr="00E71603" w:rsidRDefault="00E71603" w:rsidP="00E71603">
      <w:pPr>
        <w:spacing w:after="120" w:line="276" w:lineRule="auto"/>
        <w:rPr>
          <w:rFonts w:eastAsia="Calibri"/>
          <w:b/>
          <w:i/>
          <w:sz w:val="22"/>
          <w:szCs w:val="22"/>
          <w:lang w:eastAsia="en-US"/>
        </w:rPr>
      </w:pPr>
      <w:r w:rsidRPr="00E71603">
        <w:rPr>
          <w:rFonts w:ascii="Arial" w:eastAsia="Calibri" w:hAnsi="Arial" w:cs="Arial"/>
          <w:noProof/>
          <w:sz w:val="22"/>
          <w:szCs w:val="22"/>
          <w:lang w:eastAsia="sk-SK"/>
        </w:rPr>
        <w:drawing>
          <wp:inline distT="0" distB="0" distL="0" distR="0" wp14:anchorId="348C8229" wp14:editId="0D6A39B6">
            <wp:extent cx="5105400" cy="609600"/>
            <wp:effectExtent l="0" t="0" r="0" b="0"/>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609600"/>
                    </a:xfrm>
                    <a:prstGeom prst="rect">
                      <a:avLst/>
                    </a:prstGeom>
                    <a:noFill/>
                    <a:ln>
                      <a:noFill/>
                    </a:ln>
                  </pic:spPr>
                </pic:pic>
              </a:graphicData>
            </a:graphic>
          </wp:inline>
        </w:drawing>
      </w:r>
    </w:p>
    <w:p w:rsidR="00E71603" w:rsidRPr="00E71603" w:rsidRDefault="00E71603" w:rsidP="00E71603">
      <w:pPr>
        <w:spacing w:after="120" w:line="276" w:lineRule="auto"/>
        <w:rPr>
          <w:rFonts w:eastAsia="Calibri"/>
          <w:b/>
          <w:i/>
          <w:sz w:val="22"/>
          <w:szCs w:val="22"/>
          <w:lang w:eastAsia="en-US"/>
        </w:rPr>
      </w:pPr>
    </w:p>
    <w:p w:rsidR="00E71603" w:rsidRPr="00E71603" w:rsidRDefault="00E71603" w:rsidP="00E71603">
      <w:pPr>
        <w:spacing w:line="276" w:lineRule="auto"/>
        <w:jc w:val="center"/>
        <w:rPr>
          <w:rFonts w:eastAsia="Calibri"/>
          <w:b/>
          <w:i/>
          <w:sz w:val="22"/>
          <w:szCs w:val="22"/>
          <w:lang w:eastAsia="en-US"/>
        </w:rPr>
      </w:pPr>
      <w:r w:rsidRPr="00E71603">
        <w:rPr>
          <w:rFonts w:eastAsia="Calibri"/>
          <w:noProof/>
          <w:sz w:val="22"/>
          <w:szCs w:val="22"/>
          <w:lang w:eastAsia="sk-SK"/>
        </w:rPr>
        <w:lastRenderedPageBreak/>
        <w:drawing>
          <wp:inline distT="0" distB="0" distL="0" distR="0" wp14:anchorId="536749E8" wp14:editId="3C8B33FB">
            <wp:extent cx="5040000" cy="3060561"/>
            <wp:effectExtent l="0" t="0" r="8255"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000" cy="3060561"/>
                    </a:xfrm>
                    <a:prstGeom prst="rect">
                      <a:avLst/>
                    </a:prstGeom>
                    <a:noFill/>
                    <a:ln>
                      <a:noFill/>
                    </a:ln>
                  </pic:spPr>
                </pic:pic>
              </a:graphicData>
            </a:graphic>
          </wp:inline>
        </w:drawing>
      </w:r>
      <w:r w:rsidRPr="00E71603">
        <w:rPr>
          <w:rFonts w:eastAsia="Calibri"/>
          <w:b/>
          <w:i/>
          <w:sz w:val="22"/>
          <w:szCs w:val="22"/>
          <w:lang w:eastAsia="en-US"/>
        </w:rPr>
        <w:t>Obr. 1.6  Ročné objemy fyzických importných a exportných tokov elektriny na cezhraničných profiloch PS SR za roky 1991 – 2016 [</w:t>
      </w:r>
      <w:proofErr w:type="spellStart"/>
      <w:r w:rsidRPr="00E71603">
        <w:rPr>
          <w:rFonts w:eastAsia="Calibri"/>
          <w:b/>
          <w:i/>
          <w:sz w:val="22"/>
          <w:szCs w:val="22"/>
          <w:lang w:eastAsia="en-US"/>
        </w:rPr>
        <w:t>GWh</w:t>
      </w:r>
      <w:proofErr w:type="spellEnd"/>
      <w:r w:rsidRPr="00E71603">
        <w:rPr>
          <w:rFonts w:eastAsia="Calibri"/>
          <w:b/>
          <w:i/>
          <w:sz w:val="22"/>
          <w:szCs w:val="22"/>
          <w:lang w:eastAsia="en-US"/>
        </w:rPr>
        <w:t>]</w:t>
      </w:r>
    </w:p>
    <w:p w:rsidR="00E71603" w:rsidRPr="00E71603" w:rsidRDefault="00E71603" w:rsidP="00E71603">
      <w:pPr>
        <w:spacing w:line="276" w:lineRule="auto"/>
        <w:jc w:val="center"/>
        <w:rPr>
          <w:rFonts w:eastAsia="Calibri"/>
          <w:b/>
          <w:i/>
          <w:sz w:val="22"/>
          <w:szCs w:val="22"/>
          <w:lang w:eastAsia="en-US"/>
        </w:rPr>
      </w:pP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t>Bilancia exportných a importných fyzikálnych a obchodných tokov je znázornená na nasledujúcom obrázku:</w:t>
      </w:r>
    </w:p>
    <w:p w:rsidR="00E71603" w:rsidRPr="00E71603" w:rsidRDefault="00E71603" w:rsidP="00E71603">
      <w:pPr>
        <w:spacing w:line="276" w:lineRule="auto"/>
        <w:jc w:val="both"/>
        <w:rPr>
          <w:rFonts w:eastAsia="Calibri"/>
          <w:b/>
          <w:i/>
          <w:sz w:val="22"/>
          <w:szCs w:val="22"/>
          <w:lang w:eastAsia="en-US"/>
        </w:rPr>
      </w:pPr>
      <w:r w:rsidRPr="00E71603">
        <w:rPr>
          <w:rFonts w:eastAsia="Calibri"/>
          <w:iCs/>
          <w:noProof/>
          <w:sz w:val="22"/>
          <w:szCs w:val="22"/>
          <w:lang w:eastAsia="sk-SK"/>
        </w:rPr>
        <w:drawing>
          <wp:inline distT="0" distB="0" distL="0" distR="0" wp14:anchorId="37CABE08" wp14:editId="77E90AA6">
            <wp:extent cx="5534025" cy="3455665"/>
            <wp:effectExtent l="0" t="0" r="0" b="0"/>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a:extLst>
                        <a:ext uri="{28A0092B-C50C-407E-A947-70E740481C1C}">
                          <a14:useLocalDpi xmlns:a14="http://schemas.microsoft.com/office/drawing/2010/main" val="0"/>
                        </a:ext>
                      </a:extLst>
                    </a:blip>
                    <a:srcRect l="2317" t="1627" r="1490"/>
                    <a:stretch/>
                  </pic:blipFill>
                  <pic:spPr bwMode="auto">
                    <a:xfrm>
                      <a:off x="0" y="0"/>
                      <a:ext cx="5540203" cy="3459523"/>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autoSpaceDE w:val="0"/>
        <w:autoSpaceDN w:val="0"/>
        <w:adjustRightInd w:val="0"/>
        <w:spacing w:after="240" w:line="276" w:lineRule="auto"/>
        <w:jc w:val="center"/>
        <w:rPr>
          <w:rFonts w:eastAsia="Calibri"/>
          <w:color w:val="000000"/>
          <w:sz w:val="18"/>
        </w:rPr>
      </w:pPr>
      <w:r w:rsidRPr="00E71603">
        <w:rPr>
          <w:b/>
          <w:i/>
          <w:iCs/>
          <w:sz w:val="22"/>
          <w:szCs w:val="22"/>
        </w:rPr>
        <w:t>Obr. 1.7  Bilancia cezhraničných výmen ES SR v roku 2016</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Pre spoľahlivé a bezpečné prevádzkovanie ES SR je okrem iného potrebné v každom časovom okamihu zabezpečiť rovnováhu medzi spotrebou a výrobou elektriny, k čomu elektroenergetický dispečing prevádzkovateľa PS využíva podporné služby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 roku 2016 neboli v každom časovom okamihu naplnené požadované objemy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na 100 %. Z analýzy pokrývania diagramu zaťaženia v hodinách týždenných maxím počas roka evidujeme v </w:t>
      </w:r>
      <w:r w:rsidRPr="00E71603">
        <w:rPr>
          <w:rFonts w:eastAsia="Calibri"/>
          <w:color w:val="000000"/>
          <w:sz w:val="22"/>
          <w:szCs w:val="22"/>
          <w:lang w:eastAsia="en-US"/>
        </w:rPr>
        <w:lastRenderedPageBreak/>
        <w:t>priemere predovšetkým nedostatok zápornej terciárnej regulácie výkonu (TRV-) vo výške 13,74 %. Ďalej bol nedostatok aj pri pokrývaní požadovaného rozsahu sekundárnej regulácie výkonu (SRV) vo výške 7,93 % (vrátane garantovaného výkonu SRV± v rámci plnenia stanoveného všeobecného hospodárskeho záujmu na využívaní domáceho uhlia pri výrobe elektriny a zavedenia možnosti poskytovania SRV± z virtuálneho bloku). Nedostatok pri pokrývaní požadovaného rozsahu primárnej regulácie výkonu (PRV±) bol vo výške 1,73 % (vrátane garantovaného výkonu PRV± zo zahraničia). Taktiež sa objavovali aj nedostatky pri pokrývaní kladnej terciárnej regulácie výkonu (TRV+) vo výške 8,99 %, čo je oproti roku 2015 (7,98 %) mierne zhoršenie.</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Kritickým obdobím pre zabezpečenie dostatočnej zápornej regulačnej rezervy bol v roku 2016 27. energetický týždeň (25.06.2016 – 01.07.2016), v ktorom bol nedostatok zápornej regulačnej rezervy spôsobený odstávkou PVE Čierny Váh v dňoch 28.06. – 29.06.2016. Na základe plánovaných odstávok prevádzkovateľ PS vypísal mimoriadne týždenné krátkodobé výberové konanie na tento týždeň pre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typu TRV-. Mimoriadnym výberovým konaním boli v dňoch 25.6.2016 a 26.6.2016 požiadavky na zápornú regulačnú rezervu pokryté v plnom rozsahu. Pre ostatné dni zostali požiadavky čiastočne nenaplnené.</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 roku 2016 však nedošlo v ES SR k stavu, v ktorom by tento deficit ohrozil bezpečnosť a spoľahlivosť jej prevádzky, nebola potrebná ani aktivácia negarantovanej regulačnej elektriny. V prípade výskytu takých udalostí by museli byť nedostatkové druhy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pokryté práve negarantovanou regulačnou elektrinou, či už z regulačnej oblasti SR alebo zo zahraničia, prípadne dovozom v rámci havarijnej výpomoci od susedného PPS. Pri výpadku bloku EMO 1 dňa 16.9.2016 na približne 20 hodín bola aktivovaná havarijná výpomoc v objeme 450 </w:t>
      </w:r>
      <w:proofErr w:type="spellStart"/>
      <w:r w:rsidRPr="00E71603">
        <w:rPr>
          <w:rFonts w:eastAsia="Calibri"/>
          <w:color w:val="000000"/>
          <w:sz w:val="22"/>
          <w:szCs w:val="22"/>
          <w:lang w:eastAsia="en-US"/>
        </w:rPr>
        <w:t>MWh</w:t>
      </w:r>
      <w:proofErr w:type="spellEnd"/>
      <w:r w:rsidRPr="00E71603">
        <w:rPr>
          <w:rFonts w:eastAsia="Calibri"/>
          <w:color w:val="000000"/>
          <w:sz w:val="22"/>
          <w:szCs w:val="22"/>
          <w:lang w:eastAsia="en-US"/>
        </w:rPr>
        <w:t xml:space="preserve">. Ako pozitívny fakt je možné hodnotiť zapojenie PS SR do systému automatickej výmeny SRV± v rámci prepojených sústav okolitých krajín, tzv. </w:t>
      </w:r>
      <w:proofErr w:type="spellStart"/>
      <w:r w:rsidRPr="00E71603">
        <w:rPr>
          <w:rFonts w:eastAsia="Calibri"/>
          <w:color w:val="000000"/>
          <w:sz w:val="22"/>
          <w:szCs w:val="22"/>
          <w:lang w:eastAsia="en-US"/>
        </w:rPr>
        <w:t>e-GCC</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Grid</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Control</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Cooperation</w:t>
      </w:r>
      <w:proofErr w:type="spellEnd"/>
      <w:r w:rsidRPr="00E71603">
        <w:rPr>
          <w:rFonts w:eastAsia="Calibri"/>
          <w:color w:val="000000"/>
          <w:sz w:val="22"/>
          <w:szCs w:val="22"/>
          <w:lang w:eastAsia="en-US"/>
        </w:rPr>
        <w:t xml:space="preserve">) a tiež opatrenia prevádzkovateľa PS týkajúce sa možnosti a spôsobu využívania poskytovania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v tzv. virtuálnom bloku. Očakávaný vývoj v oblasti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je spracovaný v kapitole 2.3 Podporné služby.</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Jednou z povinností prevádzkovateľa PS je zabezpečenie dlhodobo spoľahlivého, bezpečného a účinného prevádzkovania sústavy za hospodárnych podmienok pri dodržaní podmienok ochrany životného prostredia. Rozvoj PS s rešpektovaním všetkých povinností prevádzkovateľa PS prebieha v SEPS kontinuálne.</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 roku 2016 bola ukončená výstavba novej spínacej stanice 400kV Gabčíkovo vrátane 2x400kV vedenia Gabčíkovo – Veľký Ďur. Pre ďalší projekt v oblasti Gabčíkova pokračovala projekčná a inžinierska činnosť pre pripravovanú realizáciu medzinárodných cezhraničných prepojení „Vedenie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Gabčíkovo – št. hr. SK/HU – Veľký Ďur“, ako aj pre projekt „Vedenie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Rimavská Sobota – št. hr. SK/HU“.</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Spomedzi ďalších významných projektov prevádzkovateľa PS treba spomenúť aj prebiehajúce práce na projektoch „Diaľkové riadenie a výmena T404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Podunajské Biskupice“, „Výmena transformátorov T401, T402 a diaľkové riadenie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Spišská Nová Ves“, „Transformácia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Bystričany“ a „Výmena transformátora T401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Moldava“. V spolupráci so ZSD sa pripravuje súbor stavieb „Transformácia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Senica“, ktorý je spojený s prechodom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Senica z existujúcej napäťovej hladiny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na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Začali sa študijné práce pre projekt: „Výmena transformátora T401, inštalácia kompenzačných tlmiviek a diaľkové riadenie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Varín“. V súčasnosti sa v spolupráci s prevádzkovateľom distribučnej sústavy rozhoduje o budúcnosti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Považská Bystrica. Optimálne riešenie z hľadiska vhodnejšieho umiestnenia by mala navrhnúť pripravovaná štúdia realizovateľnosti transformácie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pre lokality Považská Bystrica a Ladce.</w:t>
      </w:r>
    </w:p>
    <w:p w:rsidR="00E71603" w:rsidRPr="00E71603" w:rsidRDefault="00E71603" w:rsidP="00E71603">
      <w:pPr>
        <w:spacing w:after="120" w:line="276" w:lineRule="auto"/>
        <w:jc w:val="both"/>
        <w:rPr>
          <w:rFonts w:eastAsia="Calibri"/>
          <w:sz w:val="22"/>
          <w:szCs w:val="22"/>
          <w:lang w:eastAsia="en-US"/>
        </w:rPr>
      </w:pPr>
      <w:r w:rsidRPr="00E71603">
        <w:rPr>
          <w:rFonts w:eastAsia="Calibri"/>
          <w:color w:val="000000"/>
          <w:sz w:val="22"/>
          <w:szCs w:val="22"/>
          <w:lang w:eastAsia="en-US"/>
        </w:rPr>
        <w:lastRenderedPageBreak/>
        <w:t>Podrobnejší popis týchto, ale aj ďalších investičných projektov je dostupný v kapitole 4 Investičné zámery prevádzkovateľa prenosovej sústavy na nasledujúcich 10 rokov.</w:t>
      </w:r>
    </w:p>
    <w:p w:rsidR="00E71603" w:rsidRPr="00E71603" w:rsidRDefault="00E71603" w:rsidP="00E71603">
      <w:pPr>
        <w:spacing w:after="120" w:line="276" w:lineRule="auto"/>
        <w:jc w:val="both"/>
        <w:rPr>
          <w:rFonts w:eastAsia="Calibri"/>
          <w:sz w:val="22"/>
          <w:szCs w:val="22"/>
          <w:lang w:eastAsia="en-US"/>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numPr>
          <w:ilvl w:val="0"/>
          <w:numId w:val="13"/>
        </w:numPr>
        <w:spacing w:before="240" w:after="240" w:line="276" w:lineRule="auto"/>
        <w:ind w:left="426" w:hanging="426"/>
        <w:jc w:val="both"/>
        <w:outlineLvl w:val="0"/>
        <w:rPr>
          <w:b/>
          <w:caps/>
          <w:lang w:eastAsia="en-US"/>
        </w:rPr>
      </w:pPr>
      <w:bookmarkStart w:id="4" w:name="_Toc487558000"/>
      <w:r w:rsidRPr="00E71603">
        <w:rPr>
          <w:b/>
          <w:caps/>
          <w:lang w:eastAsia="en-US"/>
        </w:rPr>
        <w:lastRenderedPageBreak/>
        <w:t>Predpokladaný vývoj zásobovania elektrinou na nasledujúcich 5 rokov</w:t>
      </w:r>
      <w:bookmarkEnd w:id="4"/>
    </w:p>
    <w:p w:rsidR="00E71603" w:rsidRPr="00E71603" w:rsidRDefault="00E71603" w:rsidP="00E71603">
      <w:pPr>
        <w:tabs>
          <w:tab w:val="left" w:pos="0"/>
        </w:tabs>
        <w:spacing w:line="276" w:lineRule="auto"/>
        <w:jc w:val="both"/>
        <w:rPr>
          <w:rFonts w:eastAsia="Calibri"/>
          <w:sz w:val="22"/>
          <w:szCs w:val="22"/>
          <w:lang w:eastAsia="en-US"/>
        </w:rPr>
      </w:pPr>
      <w:r w:rsidRPr="00E71603">
        <w:rPr>
          <w:rFonts w:eastAsia="Calibri"/>
          <w:sz w:val="22"/>
          <w:szCs w:val="22"/>
          <w:lang w:eastAsia="en-US"/>
        </w:rPr>
        <w:t>Budúci vývoj v zásobovaní elektrinou budú ovplyvňovať najmä nasledovné faktory a riziká:</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vývoj spotreby elektriny,</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pripájanie nových výrobných kapacít, ako aj vyraďovanie výrobných kapacít s ukončenou dobou životnosti,</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dostupnosť primárnych palív a ich cenový vývoj na svetových trhoch,</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vývoj cien na trhu s elektrinou,</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vývoj cien v oblasti nových výrobných technológií,</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neistoty súvisiace s vývojom výšky poplatkov za emisie skleníkových plynov, predovšetkým CO2,</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 xml:space="preserve">dlhodobá návratnosť vložených investičných prostriedkov pri realizácii projektov v </w:t>
      </w:r>
      <w:proofErr w:type="spellStart"/>
      <w:r w:rsidRPr="00E71603">
        <w:rPr>
          <w:rFonts w:eastAsia="Calibri"/>
          <w:sz w:val="22"/>
          <w:szCs w:val="22"/>
          <w:lang w:eastAsia="en-US"/>
        </w:rPr>
        <w:t>elektroenergetike</w:t>
      </w:r>
      <w:proofErr w:type="spellEnd"/>
      <w:r w:rsidRPr="00E71603">
        <w:rPr>
          <w:rFonts w:eastAsia="Calibri"/>
          <w:sz w:val="22"/>
          <w:szCs w:val="22"/>
          <w:lang w:eastAsia="en-US"/>
        </w:rPr>
        <w:t>,</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stabilita podnikateľského prostredia a regulačného rámca,</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 xml:space="preserve">tlak na zvyšovanie podielu veterných elektrárni (VTE) a </w:t>
      </w:r>
      <w:proofErr w:type="spellStart"/>
      <w:r w:rsidRPr="00E71603">
        <w:rPr>
          <w:rFonts w:eastAsia="Calibri"/>
          <w:sz w:val="22"/>
          <w:szCs w:val="22"/>
          <w:lang w:eastAsia="en-US"/>
        </w:rPr>
        <w:t>fotovoltických</w:t>
      </w:r>
      <w:proofErr w:type="spellEnd"/>
      <w:r w:rsidRPr="00E71603">
        <w:rPr>
          <w:rFonts w:eastAsia="Calibri"/>
          <w:sz w:val="22"/>
          <w:szCs w:val="22"/>
          <w:lang w:eastAsia="en-US"/>
        </w:rPr>
        <w:t xml:space="preserve"> elektrární (FVE) na pokrývaní diagramu zaťaženia, ak cenové rozhodnutia ÚRSO tento trend podporia,</w:t>
      </w:r>
    </w:p>
    <w:p w:rsidR="00E71603" w:rsidRPr="00E71603" w:rsidRDefault="00E71603" w:rsidP="00E71603">
      <w:pPr>
        <w:numPr>
          <w:ilvl w:val="0"/>
          <w:numId w:val="1"/>
        </w:numPr>
        <w:tabs>
          <w:tab w:val="left" w:pos="0"/>
        </w:tabs>
        <w:spacing w:after="120" w:line="276" w:lineRule="auto"/>
        <w:jc w:val="both"/>
        <w:rPr>
          <w:rFonts w:eastAsia="Calibri"/>
          <w:sz w:val="22"/>
          <w:szCs w:val="22"/>
          <w:lang w:eastAsia="en-US"/>
        </w:rPr>
      </w:pPr>
      <w:r w:rsidRPr="00E71603">
        <w:rPr>
          <w:rFonts w:eastAsia="Calibri"/>
          <w:sz w:val="22"/>
          <w:szCs w:val="22"/>
          <w:lang w:eastAsia="en-US"/>
        </w:rPr>
        <w:t>vývoj stratégie energetickej politiky v EÚ, resp. v SR, a jej premietnutie do novej legislatívy, prípadne úpravy existujúcej legislatívy,</w:t>
      </w:r>
    </w:p>
    <w:p w:rsidR="00E71603" w:rsidRPr="00E71603" w:rsidRDefault="00E71603" w:rsidP="00E71603">
      <w:pPr>
        <w:numPr>
          <w:ilvl w:val="0"/>
          <w:numId w:val="1"/>
        </w:numPr>
        <w:tabs>
          <w:tab w:val="left" w:pos="0"/>
        </w:tabs>
        <w:spacing w:after="360" w:line="276" w:lineRule="auto"/>
        <w:jc w:val="both"/>
        <w:rPr>
          <w:rFonts w:eastAsia="Calibri"/>
          <w:bCs/>
          <w:sz w:val="22"/>
          <w:szCs w:val="22"/>
          <w:lang w:eastAsia="en-US"/>
        </w:rPr>
      </w:pPr>
      <w:r w:rsidRPr="00E71603">
        <w:rPr>
          <w:rFonts w:eastAsia="Calibri"/>
          <w:sz w:val="22"/>
          <w:szCs w:val="22"/>
          <w:lang w:eastAsia="en-US"/>
        </w:rPr>
        <w:t>značný nárast dôsledkov stále sa zvyšujúcej liberalizácie trhu s elektrinou na území EÚ na technické aspekty prevádzky prepojenej nadnárodnej elektrizačnej sústavy.</w:t>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5" w:name="_Toc421519893"/>
      <w:bookmarkStart w:id="6" w:name="_Toc487558001"/>
      <w:r w:rsidRPr="00E71603">
        <w:rPr>
          <w:b/>
          <w:szCs w:val="22"/>
          <w:lang w:eastAsia="en-US"/>
        </w:rPr>
        <w:t>Vývoj spotreby</w:t>
      </w:r>
      <w:bookmarkEnd w:id="5"/>
      <w:bookmarkEnd w:id="6"/>
    </w:p>
    <w:p w:rsidR="00E71603" w:rsidRPr="00E71603" w:rsidRDefault="00E71603" w:rsidP="00E71603">
      <w:pPr>
        <w:spacing w:before="120" w:line="276" w:lineRule="auto"/>
        <w:jc w:val="both"/>
        <w:rPr>
          <w:rFonts w:eastAsia="Calibri"/>
          <w:sz w:val="22"/>
          <w:szCs w:val="22"/>
          <w:lang w:eastAsia="en-US"/>
        </w:rPr>
      </w:pPr>
      <w:r w:rsidRPr="00E71603">
        <w:rPr>
          <w:rFonts w:eastAsia="Calibri"/>
          <w:sz w:val="22"/>
          <w:szCs w:val="22"/>
          <w:lang w:eastAsia="en-US"/>
        </w:rPr>
        <w:t>Budúci vývoj spotreby elektriny v SR vychádza zo štúdie „Aktualizácia prognózy spotreby elektriny v SR do roku 2035“ spracovanej nezávislou inštitúciou, pričom požiadavka na jej aktualizáciu vznikla na základe vyššieho rastu spotreby v rokoch 2015 a 2016 oproti pôvodnému spracovaniu prognózy spotreby elektriny v SR.</w:t>
      </w:r>
    </w:p>
    <w:p w:rsidR="00E71603" w:rsidRPr="00E71603" w:rsidRDefault="00E71603" w:rsidP="00E71603">
      <w:pPr>
        <w:spacing w:before="120" w:line="276" w:lineRule="auto"/>
        <w:jc w:val="both"/>
        <w:rPr>
          <w:rFonts w:eastAsia="Calibri"/>
          <w:sz w:val="22"/>
          <w:szCs w:val="22"/>
          <w:lang w:eastAsia="en-US"/>
        </w:rPr>
      </w:pPr>
      <w:r w:rsidRPr="00E71603">
        <w:rPr>
          <w:rFonts w:eastAsia="Calibri"/>
          <w:sz w:val="22"/>
          <w:szCs w:val="22"/>
          <w:lang w:eastAsia="en-US"/>
        </w:rPr>
        <w:t>Celková spotreba elektriny je ovplyvnená viacerými faktormi (okrem iného aj výkyvmi vlastnej spotreby pri výrobe elektriny). Pre potreby vývoja spotreby elektriny sa prednostne analyzuje kategória tzv. netto spotreby elektriny vrátane strát v sieťach, čo je celková spotreba elektriny bez vlastnej spotreby elektrární a bez elektriny potrebnej na čerpanie v prečerpávacích vodných elektrárňach. Táto kategória spotreby elektriny zachytáva predpokladaný vývoj využitia elektriny v ekonomicky aktívnych sektoroch a v domácnostiach, pričom vychádza z prognóz ekonomického vývoja, vývoja elektroenergetickej náročnosti, tvorby pridanej hodnoty a prognóz demografického vývoja. Z predchádzajúceho vyplýva, že vývoj netto spotreby sa mierne líši od vývoja celkovej spotreby elektriny.</w:t>
      </w:r>
    </w:p>
    <w:p w:rsidR="00E71603" w:rsidRPr="00E71603" w:rsidRDefault="00E71603" w:rsidP="00E71603">
      <w:pPr>
        <w:spacing w:before="120" w:line="276" w:lineRule="auto"/>
        <w:jc w:val="both"/>
        <w:rPr>
          <w:rFonts w:eastAsia="Calibri"/>
          <w:sz w:val="22"/>
          <w:szCs w:val="22"/>
          <w:lang w:eastAsia="en-US"/>
        </w:rPr>
      </w:pPr>
      <w:r w:rsidRPr="00E71603">
        <w:rPr>
          <w:rFonts w:eastAsia="Calibri"/>
          <w:sz w:val="22"/>
          <w:szCs w:val="22"/>
          <w:lang w:eastAsia="en-US"/>
        </w:rPr>
        <w:t>Rast spotreby za prvé štyri mesiace roku 2017 bol výrazne ovplyvnený extrémne nízkymi teplotami v mesiaci január a dlhšie trvajúcim chladným zimným obdobím, v porovnaní s rovnakým obdobím roku 2016 narástla spotreba o 4,9 %. Na základe uvedeného vývoja spotreby elektriny, analýzy vplyvu teploty na spotrebu elektriny a predpokladoch pre nasledujúce mesiace, je predpoklad, že medziročný nárast celkovej spotreby elektriny by mal byť v roku 2017 minimálne na úrovni 1,3 %.</w:t>
      </w:r>
    </w:p>
    <w:p w:rsidR="00E71603" w:rsidRPr="00E71603" w:rsidRDefault="00E71603" w:rsidP="00E71603">
      <w:pPr>
        <w:spacing w:before="120" w:line="276" w:lineRule="auto"/>
        <w:jc w:val="both"/>
        <w:rPr>
          <w:rFonts w:eastAsia="Calibri"/>
          <w:sz w:val="22"/>
          <w:szCs w:val="22"/>
          <w:lang w:eastAsia="en-US"/>
        </w:rPr>
      </w:pPr>
      <w:r w:rsidRPr="00E71603">
        <w:rPr>
          <w:rFonts w:eastAsia="Calibri"/>
          <w:iCs/>
          <w:noProof/>
          <w:sz w:val="22"/>
          <w:szCs w:val="22"/>
          <w:lang w:eastAsia="sk-SK"/>
        </w:rPr>
        <w:lastRenderedPageBreak/>
        <w:drawing>
          <wp:inline distT="0" distB="0" distL="0" distR="0" wp14:anchorId="0BD6765C" wp14:editId="3D8756C7">
            <wp:extent cx="5759450" cy="2727325"/>
            <wp:effectExtent l="0" t="0" r="0" b="0"/>
            <wp:docPr id="53" name="Obrázo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2727325"/>
                    </a:xfrm>
                    <a:prstGeom prst="rect">
                      <a:avLst/>
                    </a:prstGeom>
                    <a:noFill/>
                  </pic:spPr>
                </pic:pic>
              </a:graphicData>
            </a:graphic>
          </wp:inline>
        </w:drawing>
      </w:r>
    </w:p>
    <w:p w:rsidR="00E71603" w:rsidRPr="00E71603" w:rsidRDefault="00E71603" w:rsidP="00E71603">
      <w:pPr>
        <w:spacing w:line="276" w:lineRule="auto"/>
        <w:jc w:val="center"/>
        <w:rPr>
          <w:b/>
          <w:i/>
          <w:iCs/>
          <w:sz w:val="22"/>
          <w:szCs w:val="22"/>
          <w:lang w:eastAsia="sk-SK"/>
        </w:rPr>
      </w:pPr>
      <w:r w:rsidRPr="00E71603">
        <w:rPr>
          <w:b/>
          <w:i/>
          <w:iCs/>
          <w:sz w:val="22"/>
          <w:szCs w:val="22"/>
          <w:lang w:eastAsia="sk-SK"/>
        </w:rPr>
        <w:t>Obr. 2.1  Celková a netto spotreba elektriny v SR za roky 2005 – 2022</w:t>
      </w:r>
    </w:p>
    <w:p w:rsidR="00E71603" w:rsidRPr="00E71603" w:rsidRDefault="00E71603" w:rsidP="00E71603">
      <w:pPr>
        <w:spacing w:before="120" w:line="276" w:lineRule="auto"/>
        <w:jc w:val="both"/>
        <w:rPr>
          <w:rFonts w:eastAsia="Calibri"/>
          <w:sz w:val="22"/>
          <w:szCs w:val="22"/>
          <w:lang w:eastAsia="en-US"/>
        </w:rPr>
      </w:pPr>
      <w:r w:rsidRPr="00E71603">
        <w:rPr>
          <w:rFonts w:eastAsia="Calibri"/>
          <w:sz w:val="22"/>
          <w:szCs w:val="22"/>
          <w:lang w:eastAsia="en-US"/>
        </w:rPr>
        <w:t>Do roku 2020 sa predpokladá medziročný nárast celkovej spotreby elektriny zhruba na úrovni rastu spotreby v roku 2016. Po roku 2020 očakávame miernejší nárast celkovej spotreby oproti predošlému obdobiu. Spotreba elektriny v SR môže v roku 2017 a v nasledujúcich 5 rokoch dosiahnuť nasledujúce hodnoty (netto a celkové):</w:t>
      </w:r>
    </w:p>
    <w:p w:rsidR="00E71603" w:rsidRPr="00E71603" w:rsidRDefault="00E71603" w:rsidP="00E71603">
      <w:pPr>
        <w:spacing w:before="120" w:line="276" w:lineRule="auto"/>
        <w:jc w:val="both"/>
        <w:rPr>
          <w:rFonts w:eastAsia="Calibri"/>
          <w:sz w:val="22"/>
          <w:szCs w:val="22"/>
          <w:lang w:eastAsia="en-US"/>
        </w:rPr>
      </w:pPr>
      <w:r w:rsidRPr="00E71603">
        <w:rPr>
          <w:rFonts w:eastAsia="Calibri"/>
          <w:b/>
          <w:i/>
          <w:sz w:val="22"/>
          <w:szCs w:val="22"/>
          <w:lang w:eastAsia="en-US"/>
        </w:rPr>
        <w:t>Tab. 2.1  Prognóza vývoja spotreby elektriny v </w:t>
      </w:r>
      <w:proofErr w:type="spellStart"/>
      <w:r w:rsidRPr="00E71603">
        <w:rPr>
          <w:rFonts w:eastAsia="Calibri"/>
          <w:b/>
          <w:i/>
          <w:sz w:val="22"/>
          <w:szCs w:val="22"/>
          <w:lang w:eastAsia="en-US"/>
        </w:rPr>
        <w:t>TWh</w:t>
      </w:r>
      <w:proofErr w:type="spellEnd"/>
      <w:r w:rsidRPr="00E71603">
        <w:rPr>
          <w:rFonts w:eastAsia="Calibri"/>
          <w:b/>
          <w:i/>
          <w:sz w:val="22"/>
          <w:szCs w:val="22"/>
          <w:lang w:eastAsia="en-US"/>
        </w:rPr>
        <w:t xml:space="preserve"> a medziročný rast v % na nasledujúcich 5 rokov</w:t>
      </w:r>
    </w:p>
    <w:p w:rsidR="00E71603" w:rsidRPr="00E71603" w:rsidRDefault="00E71603" w:rsidP="00E71603">
      <w:pPr>
        <w:spacing w:line="276" w:lineRule="auto"/>
        <w:jc w:val="center"/>
        <w:rPr>
          <w:rFonts w:eastAsia="Calibri"/>
          <w:b/>
          <w:i/>
          <w:sz w:val="22"/>
          <w:szCs w:val="22"/>
          <w:lang w:eastAsia="en-US"/>
        </w:rPr>
      </w:pPr>
      <w:r w:rsidRPr="00E71603">
        <w:rPr>
          <w:rFonts w:eastAsia="Calibri"/>
          <w:iCs/>
          <w:noProof/>
          <w:sz w:val="22"/>
          <w:szCs w:val="22"/>
          <w:lang w:eastAsia="sk-SK"/>
        </w:rPr>
        <w:drawing>
          <wp:inline distT="0" distB="0" distL="0" distR="0" wp14:anchorId="37EE8036" wp14:editId="53B97580">
            <wp:extent cx="5759450" cy="949325"/>
            <wp:effectExtent l="0" t="0" r="0" b="3175"/>
            <wp:docPr id="54" name="Obrázo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949325"/>
                    </a:xfrm>
                    <a:prstGeom prst="rect">
                      <a:avLst/>
                    </a:prstGeom>
                    <a:noFill/>
                  </pic:spPr>
                </pic:pic>
              </a:graphicData>
            </a:graphic>
          </wp:inline>
        </w:drawing>
      </w:r>
      <w:r w:rsidRPr="00E71603">
        <w:rPr>
          <w:rFonts w:eastAsia="Calibri"/>
          <w:sz w:val="22"/>
          <w:szCs w:val="22"/>
          <w:lang w:eastAsia="en-US"/>
        </w:rPr>
        <w:t xml:space="preserve"> </w:t>
      </w:r>
    </w:p>
    <w:p w:rsidR="00E71603" w:rsidRPr="00E71603" w:rsidRDefault="00E71603" w:rsidP="00E71603">
      <w:pPr>
        <w:keepNext/>
        <w:keepLines/>
        <w:numPr>
          <w:ilvl w:val="1"/>
          <w:numId w:val="14"/>
        </w:numPr>
        <w:spacing w:before="360" w:after="240" w:line="276" w:lineRule="auto"/>
        <w:ind w:left="425" w:hanging="425"/>
        <w:jc w:val="both"/>
        <w:outlineLvl w:val="1"/>
        <w:rPr>
          <w:b/>
          <w:szCs w:val="22"/>
          <w:lang w:eastAsia="en-US"/>
        </w:rPr>
      </w:pPr>
      <w:bookmarkStart w:id="7" w:name="_Toc421519894"/>
      <w:bookmarkStart w:id="8" w:name="_Toc487558002"/>
      <w:r w:rsidRPr="00E71603">
        <w:rPr>
          <w:b/>
          <w:szCs w:val="22"/>
          <w:lang w:eastAsia="en-US"/>
        </w:rPr>
        <w:t>Výroba elektriny</w:t>
      </w:r>
      <w:bookmarkEnd w:id="7"/>
      <w:bookmarkEnd w:id="8"/>
    </w:p>
    <w:p w:rsidR="00E71603" w:rsidRPr="00E71603" w:rsidRDefault="00E71603" w:rsidP="00E71603">
      <w:pPr>
        <w:autoSpaceDE w:val="0"/>
        <w:autoSpaceDN w:val="0"/>
        <w:adjustRightInd w:val="0"/>
        <w:spacing w:after="120" w:line="276" w:lineRule="auto"/>
        <w:jc w:val="both"/>
        <w:rPr>
          <w:iCs/>
          <w:sz w:val="22"/>
          <w:szCs w:val="22"/>
        </w:rPr>
      </w:pPr>
      <w:r w:rsidRPr="00E71603">
        <w:rPr>
          <w:iCs/>
          <w:sz w:val="22"/>
          <w:szCs w:val="22"/>
        </w:rPr>
        <w:t>Uvedením niekoľkých menších zdrojov elektriny do prevádzky v rokoch 2007 až 2012, zvýšením inštalovaného výkonu EBO V2, EMO 1, 2 a uvedením PPC Malženice do trvalej prevádzky v roku 2011 mala ES SR z hľadiska disponibility výkonu potenciálne proexportnú bilanciu.</w:t>
      </w:r>
    </w:p>
    <w:p w:rsidR="00E71603" w:rsidRPr="00E71603" w:rsidRDefault="00E71603" w:rsidP="00E71603">
      <w:pPr>
        <w:autoSpaceDE w:val="0"/>
        <w:autoSpaceDN w:val="0"/>
        <w:adjustRightInd w:val="0"/>
        <w:spacing w:after="120" w:line="276" w:lineRule="auto"/>
        <w:jc w:val="both"/>
        <w:rPr>
          <w:iCs/>
          <w:sz w:val="22"/>
          <w:szCs w:val="22"/>
        </w:rPr>
      </w:pPr>
      <w:r w:rsidRPr="00E71603">
        <w:rPr>
          <w:iCs/>
          <w:sz w:val="22"/>
          <w:szCs w:val="22"/>
        </w:rPr>
        <w:t>V roku 2014 však došlo z ekonomických dôvodov k dlhodobému zakonzervovaniu PPC Malženice. Od roku 2014 nevyrába silovú elektrinu ani ďalší významný zdroj PPC Bratislava. Ich neprevádzkovaním je v ES SR značne znížený aj potenciál dostupného regulačného výkonu.</w:t>
      </w:r>
    </w:p>
    <w:p w:rsidR="00E71603" w:rsidRPr="00E71603" w:rsidRDefault="00E71603" w:rsidP="00E71603">
      <w:pPr>
        <w:autoSpaceDE w:val="0"/>
        <w:autoSpaceDN w:val="0"/>
        <w:adjustRightInd w:val="0"/>
        <w:spacing w:after="120" w:line="276" w:lineRule="auto"/>
        <w:jc w:val="both"/>
        <w:rPr>
          <w:iCs/>
          <w:sz w:val="22"/>
          <w:szCs w:val="22"/>
        </w:rPr>
      </w:pPr>
      <w:r w:rsidRPr="00E71603">
        <w:rPr>
          <w:iCs/>
          <w:sz w:val="22"/>
          <w:szCs w:val="22"/>
        </w:rPr>
        <w:t xml:space="preserve">V roku 2013 bola vyradená z evidencie celkového inštalovaného výkonu ES SR elektráreň EVO 2 s inštalovaným výkonom 4 x 110 MW, avšak táto elektráreň bola z ekonomických dôvodov trvalo mimo prevádzky už od roku 2006. Z rovnakého dôvodu nie sú od roku 2014 v elektrárni EVO 1 prevádzkované bloky 1 a 2. V marci 2015 boli uvedené bloky vo vlastníctve SE vyňaté z licencie na podnikanie v </w:t>
      </w:r>
      <w:proofErr w:type="spellStart"/>
      <w:r w:rsidRPr="00E71603">
        <w:rPr>
          <w:iCs/>
          <w:sz w:val="22"/>
          <w:szCs w:val="22"/>
        </w:rPr>
        <w:t>elektroenergetike</w:t>
      </w:r>
      <w:proofErr w:type="spellEnd"/>
      <w:r w:rsidRPr="00E71603">
        <w:rPr>
          <w:iCs/>
          <w:sz w:val="22"/>
          <w:szCs w:val="22"/>
        </w:rPr>
        <w:t>.</w:t>
      </w:r>
    </w:p>
    <w:p w:rsidR="00E71603" w:rsidRPr="00E71603" w:rsidRDefault="00E71603" w:rsidP="00E71603">
      <w:pPr>
        <w:autoSpaceDE w:val="0"/>
        <w:autoSpaceDN w:val="0"/>
        <w:adjustRightInd w:val="0"/>
        <w:spacing w:after="120" w:line="276" w:lineRule="auto"/>
        <w:jc w:val="both"/>
        <w:rPr>
          <w:iCs/>
          <w:sz w:val="22"/>
          <w:szCs w:val="22"/>
        </w:rPr>
      </w:pPr>
      <w:r w:rsidRPr="00E71603">
        <w:rPr>
          <w:iCs/>
          <w:sz w:val="22"/>
          <w:szCs w:val="22"/>
        </w:rPr>
        <w:t>Na konci roka 2015 bola z dôvodu emisných limitov ukončená prevádzka blokov č. 3 a 4 elektrárne Nováky. Blok č. 3 bol koncom roka 2016 uvedený do testovacej prevádzky, ale dňa 28.2.2017 bola testovacia prevádzka bloku ukončená.</w:t>
      </w:r>
    </w:p>
    <w:p w:rsidR="00E71603" w:rsidRPr="00E71603" w:rsidRDefault="00E71603" w:rsidP="00E71603">
      <w:pPr>
        <w:autoSpaceDE w:val="0"/>
        <w:autoSpaceDN w:val="0"/>
        <w:adjustRightInd w:val="0"/>
        <w:spacing w:after="120" w:line="276" w:lineRule="auto"/>
        <w:jc w:val="both"/>
        <w:rPr>
          <w:iCs/>
          <w:sz w:val="22"/>
          <w:szCs w:val="22"/>
        </w:rPr>
      </w:pPr>
      <w:r w:rsidRPr="00E71603">
        <w:rPr>
          <w:iCs/>
          <w:sz w:val="22"/>
          <w:szCs w:val="22"/>
        </w:rPr>
        <w:t xml:space="preserve">V nasledujúcich rokoch sa predpokladá nárast inštalovaného výkonu dokončením blokov č. 3 a č. 4 JE Mochovce. Podľa posledných informácií má byť blok EMO 3 uvedený do komerčnej prevádzky </w:t>
      </w:r>
      <w:r w:rsidRPr="00E71603">
        <w:rPr>
          <w:iCs/>
          <w:sz w:val="22"/>
          <w:szCs w:val="22"/>
        </w:rPr>
        <w:lastRenderedPageBreak/>
        <w:t>v decembri 2018. S odstupom jedného roka sa predpokladá spustenie bloku EMO 4 (december 2019). Predpokladá sa, že produkciou týchto blokov nastane v SR prebytková bilancia medzi výrobou a spotrebou elektriny, pričom rozhodujúcim limitujúcim miestom ES SR môže byť medzištátny profil Slovensko – Maďarsko. Podrobnejší popis tohto investičného zámeru je dostupný v kapitole 4.2 Cezhraničné investičné zámery prevádzkovateľa PS.</w:t>
      </w:r>
    </w:p>
    <w:p w:rsidR="00E71603" w:rsidRPr="00E71603" w:rsidRDefault="00E71603" w:rsidP="00E71603">
      <w:pPr>
        <w:autoSpaceDE w:val="0"/>
        <w:autoSpaceDN w:val="0"/>
        <w:adjustRightInd w:val="0"/>
        <w:spacing w:after="240" w:line="276" w:lineRule="auto"/>
        <w:jc w:val="both"/>
        <w:rPr>
          <w:sz w:val="22"/>
          <w:szCs w:val="22"/>
        </w:rPr>
      </w:pPr>
      <w:r w:rsidRPr="00E71603">
        <w:rPr>
          <w:iCs/>
          <w:sz w:val="22"/>
          <w:szCs w:val="22"/>
        </w:rPr>
        <w:t>Celková predpokladaná bilancia spotreby a výroby elektriny na obdobie nasledujúcich piatich rokov je v nasledujúcej tabuľke (v údajoch nie je uvažované s výrobou v PPC Malženice a PPC Bratislava):</w:t>
      </w:r>
    </w:p>
    <w:p w:rsidR="00E71603" w:rsidRPr="00E71603" w:rsidRDefault="00E71603" w:rsidP="00E71603">
      <w:pPr>
        <w:autoSpaceDE w:val="0"/>
        <w:autoSpaceDN w:val="0"/>
        <w:adjustRightInd w:val="0"/>
        <w:spacing w:line="276" w:lineRule="auto"/>
        <w:rPr>
          <w:b/>
          <w:sz w:val="22"/>
          <w:szCs w:val="22"/>
        </w:rPr>
      </w:pPr>
      <w:r w:rsidRPr="00E71603">
        <w:rPr>
          <w:b/>
          <w:bCs/>
          <w:i/>
          <w:iCs/>
          <w:sz w:val="22"/>
          <w:szCs w:val="22"/>
        </w:rPr>
        <w:t>Tab. 2.2  P</w:t>
      </w:r>
      <w:r w:rsidRPr="00E71603">
        <w:rPr>
          <w:b/>
          <w:i/>
          <w:sz w:val="22"/>
          <w:szCs w:val="22"/>
        </w:rPr>
        <w:t>redpokladaná bilancia spotreby a výroby elektriny na obdobie piatich rokov [</w:t>
      </w:r>
      <w:proofErr w:type="spellStart"/>
      <w:r w:rsidRPr="00E71603">
        <w:rPr>
          <w:b/>
          <w:i/>
          <w:sz w:val="22"/>
          <w:szCs w:val="22"/>
        </w:rPr>
        <w:t>TWh</w:t>
      </w:r>
      <w:proofErr w:type="spellEnd"/>
      <w:r w:rsidRPr="00E71603">
        <w:rPr>
          <w:b/>
          <w:i/>
          <w:sz w:val="22"/>
          <w:szCs w:val="22"/>
        </w:rPr>
        <w:t>]</w:t>
      </w:r>
    </w:p>
    <w:p w:rsidR="00E71603" w:rsidRPr="00E71603" w:rsidRDefault="00E71603" w:rsidP="00E71603">
      <w:pPr>
        <w:spacing w:after="120" w:line="276" w:lineRule="auto"/>
        <w:rPr>
          <w:b/>
          <w:i/>
          <w:sz w:val="22"/>
          <w:szCs w:val="22"/>
          <w:lang w:eastAsia="sk-SK"/>
        </w:rPr>
      </w:pPr>
      <w:r w:rsidRPr="00E71603">
        <w:rPr>
          <w:b/>
          <w:bCs/>
          <w:noProof/>
          <w:lang w:eastAsia="sk-SK"/>
        </w:rPr>
        <w:drawing>
          <wp:inline distT="0" distB="0" distL="0" distR="0" wp14:anchorId="7FB1A927" wp14:editId="5DB33F64">
            <wp:extent cx="5759450" cy="960755"/>
            <wp:effectExtent l="0" t="0" r="0" b="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960755"/>
                    </a:xfrm>
                    <a:prstGeom prst="rect">
                      <a:avLst/>
                    </a:prstGeom>
                    <a:noFill/>
                  </pic:spPr>
                </pic:pic>
              </a:graphicData>
            </a:graphic>
          </wp:inline>
        </w:drawing>
      </w:r>
      <w:r w:rsidRPr="00E71603">
        <w:rPr>
          <w:b/>
          <w:bCs/>
          <w:lang w:eastAsia="sk-SK"/>
        </w:rPr>
        <w:t xml:space="preserve"> </w:t>
      </w:r>
    </w:p>
    <w:p w:rsidR="00E71603" w:rsidRPr="00E71603" w:rsidRDefault="00E71603" w:rsidP="00E71603">
      <w:pPr>
        <w:spacing w:before="240" w:after="120" w:line="276" w:lineRule="auto"/>
        <w:jc w:val="both"/>
        <w:rPr>
          <w:sz w:val="22"/>
          <w:szCs w:val="22"/>
          <w:lang w:eastAsia="sk-SK"/>
        </w:rPr>
      </w:pPr>
      <w:r w:rsidRPr="00E71603">
        <w:rPr>
          <w:sz w:val="22"/>
          <w:szCs w:val="22"/>
          <w:lang w:eastAsia="sk-SK"/>
        </w:rPr>
        <w:t xml:space="preserve">Na základe údajov uvedených v tab. 2.2 je možné konštatovať, že po uvedení blokov 3 a 4 EMO do komerčnej prevádzky sa charakter ES SR zmení z mierne importného, resp. vyrovnaného, na exportný s vysokým podielom výroby zo zdrojov elektriny na báze </w:t>
      </w:r>
      <w:proofErr w:type="spellStart"/>
      <w:r w:rsidRPr="00E71603">
        <w:rPr>
          <w:sz w:val="22"/>
          <w:szCs w:val="22"/>
          <w:lang w:eastAsia="sk-SK"/>
        </w:rPr>
        <w:t>bezuhlíkovej</w:t>
      </w:r>
      <w:proofErr w:type="spellEnd"/>
      <w:r w:rsidRPr="00E71603">
        <w:rPr>
          <w:sz w:val="22"/>
          <w:szCs w:val="22"/>
          <w:lang w:eastAsia="sk-SK"/>
        </w:rPr>
        <w:t xml:space="preserve"> technológie. Prípadný veľký nový odberateľ elektriny na Slovensku by znížil prebytkové bilančné saldo v období do roku 2020.</w:t>
      </w:r>
    </w:p>
    <w:p w:rsidR="00E71603" w:rsidRPr="00E71603" w:rsidRDefault="00E71603" w:rsidP="00E71603">
      <w:pPr>
        <w:spacing w:before="120" w:line="276" w:lineRule="auto"/>
        <w:jc w:val="center"/>
        <w:rPr>
          <w:sz w:val="22"/>
          <w:szCs w:val="22"/>
          <w:lang w:eastAsia="sk-SK"/>
        </w:rPr>
      </w:pPr>
      <w:r w:rsidRPr="00E71603">
        <w:rPr>
          <w:b/>
          <w:bCs/>
          <w:iCs/>
          <w:noProof/>
          <w:sz w:val="22"/>
          <w:szCs w:val="22"/>
          <w:lang w:eastAsia="sk-SK"/>
        </w:rPr>
        <w:drawing>
          <wp:inline distT="0" distB="0" distL="0" distR="0" wp14:anchorId="14F91BEF" wp14:editId="33B15939">
            <wp:extent cx="5040000" cy="2953879"/>
            <wp:effectExtent l="0" t="0" r="8255" b="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a:extLst>
                        <a:ext uri="{28A0092B-C50C-407E-A947-70E740481C1C}">
                          <a14:useLocalDpi xmlns:a14="http://schemas.microsoft.com/office/drawing/2010/main" val="0"/>
                        </a:ext>
                      </a:extLst>
                    </a:blip>
                    <a:srcRect l="1820" t="2035" r="3068" b="-1"/>
                    <a:stretch/>
                  </pic:blipFill>
                  <pic:spPr bwMode="auto">
                    <a:xfrm>
                      <a:off x="0" y="0"/>
                      <a:ext cx="5040000" cy="2953879"/>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line="276" w:lineRule="auto"/>
        <w:jc w:val="center"/>
        <w:rPr>
          <w:b/>
          <w:i/>
          <w:iCs/>
          <w:sz w:val="22"/>
          <w:szCs w:val="22"/>
          <w:lang w:eastAsia="sk-SK"/>
        </w:rPr>
      </w:pPr>
      <w:r w:rsidRPr="00E71603">
        <w:rPr>
          <w:b/>
          <w:i/>
          <w:iCs/>
          <w:sz w:val="22"/>
          <w:szCs w:val="22"/>
          <w:lang w:eastAsia="sk-SK"/>
        </w:rPr>
        <w:t>Obr. 2.2  Vývoj bilancie celkovej výroby a spotreby elektriny v SR pre roky 2005 – 2022</w:t>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9" w:name="_Toc421519895"/>
      <w:bookmarkStart w:id="10" w:name="_Toc487558003"/>
      <w:r w:rsidRPr="00E71603">
        <w:rPr>
          <w:b/>
          <w:szCs w:val="22"/>
          <w:lang w:eastAsia="en-US"/>
        </w:rPr>
        <w:t>Podporné služby</w:t>
      </w:r>
      <w:bookmarkEnd w:id="9"/>
      <w:bookmarkEnd w:id="10"/>
    </w:p>
    <w:p w:rsidR="00E71603" w:rsidRPr="00E71603" w:rsidRDefault="00E71603" w:rsidP="00E71603">
      <w:pPr>
        <w:spacing w:line="276" w:lineRule="auto"/>
        <w:jc w:val="both"/>
        <w:rPr>
          <w:sz w:val="22"/>
          <w:szCs w:val="22"/>
          <w:lang w:eastAsia="sk-SK"/>
        </w:rPr>
      </w:pPr>
      <w:r w:rsidRPr="00E71603">
        <w:rPr>
          <w:sz w:val="22"/>
          <w:szCs w:val="22"/>
          <w:lang w:eastAsia="sk-SK"/>
        </w:rPr>
        <w:t xml:space="preserve">V oblasti plnenia požadovaného objemu </w:t>
      </w:r>
      <w:proofErr w:type="spellStart"/>
      <w:r w:rsidRPr="00E71603">
        <w:rPr>
          <w:sz w:val="22"/>
          <w:szCs w:val="22"/>
          <w:lang w:eastAsia="sk-SK"/>
        </w:rPr>
        <w:t>PpS</w:t>
      </w:r>
      <w:proofErr w:type="spellEnd"/>
      <w:r w:rsidRPr="00E71603">
        <w:rPr>
          <w:sz w:val="22"/>
          <w:szCs w:val="22"/>
          <w:lang w:eastAsia="sk-SK"/>
        </w:rPr>
        <w:t xml:space="preserve"> dochádza medziročne k jeho zlepšovaniu aj vďaka opatreniam prijímaným na strane prevádzkovateľa PS. V niektorých  mesiacoch roka však nebol naplnený požadovaný objem </w:t>
      </w:r>
      <w:proofErr w:type="spellStart"/>
      <w:r w:rsidRPr="00E71603">
        <w:rPr>
          <w:sz w:val="22"/>
          <w:szCs w:val="22"/>
          <w:lang w:eastAsia="sk-SK"/>
        </w:rPr>
        <w:t>PpS</w:t>
      </w:r>
      <w:proofErr w:type="spellEnd"/>
      <w:r w:rsidRPr="00E71603">
        <w:rPr>
          <w:sz w:val="22"/>
          <w:szCs w:val="22"/>
          <w:lang w:eastAsia="sk-SK"/>
        </w:rPr>
        <w:t xml:space="preserve">. Dôvodov je viacero: </w:t>
      </w:r>
    </w:p>
    <w:p w:rsidR="00E71603" w:rsidRPr="00E71603" w:rsidRDefault="00E71603" w:rsidP="00E71603">
      <w:pPr>
        <w:numPr>
          <w:ilvl w:val="0"/>
          <w:numId w:val="32"/>
        </w:numPr>
        <w:spacing w:after="120" w:line="276" w:lineRule="auto"/>
        <w:jc w:val="both"/>
        <w:rPr>
          <w:sz w:val="22"/>
          <w:szCs w:val="22"/>
          <w:lang w:eastAsia="sk-SK"/>
        </w:rPr>
      </w:pPr>
      <w:r w:rsidRPr="00E71603">
        <w:rPr>
          <w:sz w:val="22"/>
          <w:szCs w:val="22"/>
          <w:lang w:eastAsia="sk-SK"/>
        </w:rPr>
        <w:t xml:space="preserve">pretrvávajúce odstavenie elektrární na báze spaľovania zemného plynu z dôvodu </w:t>
      </w:r>
      <w:proofErr w:type="spellStart"/>
      <w:r w:rsidRPr="00E71603">
        <w:rPr>
          <w:sz w:val="22"/>
          <w:szCs w:val="22"/>
          <w:lang w:eastAsia="sk-SK"/>
        </w:rPr>
        <w:t>nerentability</w:t>
      </w:r>
      <w:proofErr w:type="spellEnd"/>
      <w:r w:rsidRPr="00E71603">
        <w:rPr>
          <w:sz w:val="22"/>
          <w:szCs w:val="22"/>
          <w:lang w:eastAsia="sk-SK"/>
        </w:rPr>
        <w:t xml:space="preserve"> výroby elektriny (napr. PPC Malženice, PPC Bratislava),</w:t>
      </w:r>
    </w:p>
    <w:p w:rsidR="00E71603" w:rsidRPr="00E71603" w:rsidRDefault="00E71603" w:rsidP="00E71603">
      <w:pPr>
        <w:numPr>
          <w:ilvl w:val="0"/>
          <w:numId w:val="31"/>
        </w:numPr>
        <w:spacing w:after="120" w:line="276" w:lineRule="auto"/>
        <w:ind w:hanging="294"/>
        <w:jc w:val="both"/>
        <w:rPr>
          <w:sz w:val="22"/>
          <w:szCs w:val="22"/>
          <w:lang w:eastAsia="sk-SK"/>
        </w:rPr>
      </w:pPr>
      <w:r w:rsidRPr="00E71603">
        <w:rPr>
          <w:sz w:val="22"/>
          <w:szCs w:val="22"/>
          <w:lang w:eastAsia="sk-SK"/>
        </w:rPr>
        <w:t>odstávky teplární počas letného obdobia,</w:t>
      </w:r>
    </w:p>
    <w:p w:rsidR="00E71603" w:rsidRPr="00E71603" w:rsidRDefault="00E71603" w:rsidP="00E71603">
      <w:pPr>
        <w:numPr>
          <w:ilvl w:val="0"/>
          <w:numId w:val="31"/>
        </w:numPr>
        <w:spacing w:after="120" w:line="276" w:lineRule="auto"/>
        <w:ind w:hanging="294"/>
        <w:jc w:val="both"/>
        <w:rPr>
          <w:sz w:val="22"/>
          <w:szCs w:val="22"/>
          <w:lang w:eastAsia="sk-SK"/>
        </w:rPr>
      </w:pPr>
      <w:r w:rsidRPr="00E71603">
        <w:rPr>
          <w:sz w:val="22"/>
          <w:szCs w:val="22"/>
          <w:lang w:eastAsia="sk-SK"/>
        </w:rPr>
        <w:t>prevádzka zariadení na nižšom výkone,</w:t>
      </w:r>
    </w:p>
    <w:p w:rsidR="00E71603" w:rsidRPr="00E71603" w:rsidRDefault="00E71603" w:rsidP="00E71603">
      <w:pPr>
        <w:numPr>
          <w:ilvl w:val="0"/>
          <w:numId w:val="31"/>
        </w:numPr>
        <w:spacing w:after="120" w:line="276" w:lineRule="auto"/>
        <w:ind w:hanging="294"/>
        <w:jc w:val="both"/>
        <w:rPr>
          <w:sz w:val="22"/>
          <w:szCs w:val="22"/>
          <w:lang w:eastAsia="sk-SK"/>
        </w:rPr>
      </w:pPr>
      <w:r w:rsidRPr="00E71603">
        <w:rPr>
          <w:sz w:val="22"/>
          <w:szCs w:val="22"/>
          <w:lang w:eastAsia="sk-SK"/>
        </w:rPr>
        <w:lastRenderedPageBreak/>
        <w:t xml:space="preserve">poruchy a výpadky na zariadeniach poskytujúcich </w:t>
      </w:r>
      <w:proofErr w:type="spellStart"/>
      <w:r w:rsidRPr="00E71603">
        <w:rPr>
          <w:sz w:val="22"/>
          <w:szCs w:val="22"/>
          <w:lang w:eastAsia="sk-SK"/>
        </w:rPr>
        <w:t>PpS</w:t>
      </w:r>
      <w:proofErr w:type="spellEnd"/>
      <w:r w:rsidRPr="00E71603">
        <w:rPr>
          <w:sz w:val="22"/>
          <w:szCs w:val="22"/>
          <w:lang w:eastAsia="sk-SK"/>
        </w:rPr>
        <w:t>,</w:t>
      </w:r>
    </w:p>
    <w:p w:rsidR="00E71603" w:rsidRPr="00E71603" w:rsidRDefault="00E71603" w:rsidP="00E71603">
      <w:pPr>
        <w:numPr>
          <w:ilvl w:val="0"/>
          <w:numId w:val="31"/>
        </w:numPr>
        <w:spacing w:after="120" w:line="276" w:lineRule="auto"/>
        <w:ind w:hanging="294"/>
        <w:jc w:val="both"/>
        <w:rPr>
          <w:sz w:val="22"/>
          <w:szCs w:val="22"/>
          <w:lang w:eastAsia="sk-SK"/>
        </w:rPr>
      </w:pPr>
      <w:r w:rsidRPr="00E71603">
        <w:rPr>
          <w:sz w:val="22"/>
          <w:szCs w:val="22"/>
          <w:lang w:eastAsia="sk-SK"/>
        </w:rPr>
        <w:t>neprevádzkovanie zdrojov elektriny z dôvodu poklesu výkupných cien silovej elektriny na burze (v roku 2016 dosiahli ceny silovej elektriny historické minimá) pod ich prevádzkové náklady.</w:t>
      </w:r>
    </w:p>
    <w:p w:rsidR="00E71603" w:rsidRPr="00E71603" w:rsidRDefault="00E71603" w:rsidP="00E71603">
      <w:pPr>
        <w:spacing w:line="276" w:lineRule="auto"/>
        <w:ind w:left="720"/>
        <w:jc w:val="both"/>
        <w:rPr>
          <w:sz w:val="22"/>
          <w:szCs w:val="22"/>
          <w:lang w:eastAsia="sk-SK"/>
        </w:rPr>
      </w:pPr>
    </w:p>
    <w:p w:rsidR="00E71603" w:rsidRPr="00E71603" w:rsidRDefault="00E71603" w:rsidP="00E71603">
      <w:pPr>
        <w:spacing w:after="120" w:line="276" w:lineRule="auto"/>
        <w:jc w:val="both"/>
        <w:rPr>
          <w:sz w:val="22"/>
          <w:szCs w:val="22"/>
          <w:lang w:eastAsia="sk-SK"/>
        </w:rPr>
      </w:pPr>
      <w:r w:rsidRPr="00E71603">
        <w:rPr>
          <w:sz w:val="22"/>
          <w:szCs w:val="22"/>
          <w:lang w:eastAsia="sk-SK"/>
        </w:rPr>
        <w:t>Aj napriek týmto skutočnostiam nedošlo k stavu ohrozenia bezpečnej a spoľahlivej prevádzky ES SR.</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Prevádzka FVE je spojená so zvýšenými nárokmi na </w:t>
      </w:r>
      <w:proofErr w:type="spellStart"/>
      <w:r w:rsidRPr="00E71603">
        <w:rPr>
          <w:sz w:val="22"/>
          <w:szCs w:val="22"/>
          <w:lang w:eastAsia="sk-SK"/>
        </w:rPr>
        <w:t>PpS</w:t>
      </w:r>
      <w:proofErr w:type="spellEnd"/>
      <w:r w:rsidRPr="00E71603">
        <w:rPr>
          <w:sz w:val="22"/>
          <w:szCs w:val="22"/>
          <w:lang w:eastAsia="sk-SK"/>
        </w:rPr>
        <w:t xml:space="preserve">, ktoré je potrebné zabezpečiť zdrojmi s adekvátnymi regulačnými schopnosťami. Z prevádzkového hľadiska by najväčším rizikom mohla byť situácia, v ktorej by neregulovaná výstavba týchto zdrojov prevládla nad prírastkami zdrojov poskytujúcich </w:t>
      </w:r>
      <w:proofErr w:type="spellStart"/>
      <w:r w:rsidRPr="00E71603">
        <w:rPr>
          <w:sz w:val="22"/>
          <w:szCs w:val="22"/>
          <w:lang w:eastAsia="sk-SK"/>
        </w:rPr>
        <w:t>PpS</w:t>
      </w:r>
      <w:proofErr w:type="spellEnd"/>
      <w:r w:rsidRPr="00E71603">
        <w:rPr>
          <w:sz w:val="22"/>
          <w:szCs w:val="22"/>
          <w:lang w:eastAsia="sk-SK"/>
        </w:rPr>
        <w:t>.</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V regulačnej oblasti SR sa pre potreby zabezpečenia dostatočného množstva </w:t>
      </w:r>
      <w:proofErr w:type="spellStart"/>
      <w:r w:rsidRPr="00E71603">
        <w:rPr>
          <w:sz w:val="22"/>
          <w:szCs w:val="22"/>
          <w:lang w:eastAsia="sk-SK"/>
        </w:rPr>
        <w:t>PpS</w:t>
      </w:r>
      <w:proofErr w:type="spellEnd"/>
      <w:r w:rsidRPr="00E71603">
        <w:rPr>
          <w:sz w:val="22"/>
          <w:szCs w:val="22"/>
          <w:lang w:eastAsia="sk-SK"/>
        </w:rPr>
        <w:t xml:space="preserve"> využíva aj regulácia na strane spotreby elektriny a to terciárna regulácia zníženie odoberaného výkonu vybraného odberateľa elektriny (ZNO) a terciárna regulácia zvýšenie odoberaného výkonu vybraného odberateľa elektriny (ZVO).</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Nároky na </w:t>
      </w:r>
      <w:proofErr w:type="spellStart"/>
      <w:r w:rsidRPr="00E71603">
        <w:rPr>
          <w:sz w:val="22"/>
          <w:szCs w:val="22"/>
          <w:lang w:eastAsia="sk-SK"/>
        </w:rPr>
        <w:t>PpS</w:t>
      </w:r>
      <w:proofErr w:type="spellEnd"/>
      <w:r w:rsidRPr="00E71603">
        <w:rPr>
          <w:sz w:val="22"/>
          <w:szCs w:val="22"/>
          <w:lang w:eastAsia="sk-SK"/>
        </w:rPr>
        <w:t xml:space="preserve"> sa od ich obchodného vzniku (r. 2004) postupne zvyšujú. S nárastom inštalovaného výkonu vo FVE sa zvýšila požiadavka na objem </w:t>
      </w:r>
      <w:proofErr w:type="spellStart"/>
      <w:r w:rsidRPr="00E71603">
        <w:rPr>
          <w:sz w:val="22"/>
          <w:szCs w:val="22"/>
          <w:lang w:eastAsia="sk-SK"/>
        </w:rPr>
        <w:t>PpS</w:t>
      </w:r>
      <w:proofErr w:type="spellEnd"/>
      <w:r w:rsidRPr="00E71603">
        <w:rPr>
          <w:sz w:val="22"/>
          <w:szCs w:val="22"/>
          <w:lang w:eastAsia="sk-SK"/>
        </w:rPr>
        <w:t xml:space="preserve"> schopných reagovať na rýchle zmeny v sústave (predovšetkým TRV3MIN).</w:t>
      </w:r>
    </w:p>
    <w:p w:rsidR="00E71603" w:rsidRPr="00E71603" w:rsidRDefault="00E71603" w:rsidP="00E71603">
      <w:pPr>
        <w:spacing w:line="276" w:lineRule="auto"/>
        <w:jc w:val="both"/>
        <w:rPr>
          <w:b/>
          <w:sz w:val="22"/>
          <w:szCs w:val="22"/>
          <w:lang w:eastAsia="sk-SK"/>
        </w:rPr>
      </w:pPr>
      <w:r w:rsidRPr="00E71603">
        <w:rPr>
          <w:rFonts w:eastAsia="Calibri"/>
          <w:b/>
          <w:bCs/>
          <w:i/>
          <w:iCs/>
          <w:sz w:val="22"/>
          <w:szCs w:val="22"/>
          <w:lang w:eastAsia="en-US"/>
        </w:rPr>
        <w:t>Tab. 2.3  Vážené priemery podporných služieb v rokoch 2005 - 201</w:t>
      </w:r>
      <w:r w:rsidRPr="00E71603">
        <w:rPr>
          <w:rFonts w:eastAsia="Calibri"/>
          <w:b/>
          <w:bCs/>
          <w:i/>
          <w:iCs/>
          <w:color w:val="000000"/>
          <w:sz w:val="22"/>
          <w:szCs w:val="22"/>
          <w:lang w:eastAsia="en-US"/>
        </w:rPr>
        <w:t>7</w:t>
      </w:r>
      <w:r w:rsidRPr="00E71603">
        <w:rPr>
          <w:rFonts w:eastAsia="Calibri"/>
          <w:b/>
          <w:bCs/>
          <w:i/>
          <w:iCs/>
          <w:sz w:val="22"/>
          <w:szCs w:val="22"/>
          <w:lang w:eastAsia="en-US"/>
        </w:rPr>
        <w:t xml:space="preserve"> [</w:t>
      </w:r>
      <w:r w:rsidRPr="00E71603">
        <w:rPr>
          <w:rFonts w:eastAsia="Calibri"/>
          <w:b/>
          <w:bCs/>
          <w:i/>
          <w:sz w:val="22"/>
          <w:szCs w:val="22"/>
          <w:lang w:eastAsia="en-US"/>
        </w:rPr>
        <w:t>MW]</w:t>
      </w:r>
    </w:p>
    <w:p w:rsidR="00E71603" w:rsidRPr="00E71603" w:rsidRDefault="00E71603" w:rsidP="00E71603">
      <w:pPr>
        <w:spacing w:line="276" w:lineRule="auto"/>
        <w:rPr>
          <w:b/>
          <w:i/>
          <w:sz w:val="22"/>
          <w:szCs w:val="22"/>
          <w:lang w:eastAsia="sk-SK"/>
        </w:rPr>
      </w:pPr>
      <w:r w:rsidRPr="00E71603">
        <w:rPr>
          <w:b/>
          <w:bCs/>
          <w:iCs/>
          <w:noProof/>
          <w:sz w:val="22"/>
          <w:szCs w:val="22"/>
          <w:lang w:eastAsia="sk-SK"/>
        </w:rPr>
        <w:drawing>
          <wp:inline distT="0" distB="0" distL="0" distR="0" wp14:anchorId="6EFE83D7" wp14:editId="3514BDED">
            <wp:extent cx="5759450" cy="2589530"/>
            <wp:effectExtent l="0" t="0" r="0" b="1270"/>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2589530"/>
                    </a:xfrm>
                    <a:prstGeom prst="rect">
                      <a:avLst/>
                    </a:prstGeom>
                    <a:noFill/>
                    <a:ln>
                      <a:noFill/>
                    </a:ln>
                  </pic:spPr>
                </pic:pic>
              </a:graphicData>
            </a:graphic>
          </wp:inline>
        </w:drawing>
      </w:r>
    </w:p>
    <w:p w:rsidR="00E71603" w:rsidRPr="00E71603" w:rsidRDefault="00E71603" w:rsidP="00E71603">
      <w:pPr>
        <w:spacing w:line="276" w:lineRule="auto"/>
        <w:jc w:val="both"/>
        <w:rPr>
          <w:sz w:val="22"/>
          <w:szCs w:val="22"/>
          <w:lang w:eastAsia="sk-SK"/>
        </w:rPr>
      </w:pP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V tab. 2.3 sú uvedené </w:t>
      </w:r>
      <w:proofErr w:type="spellStart"/>
      <w:r w:rsidRPr="00E71603">
        <w:rPr>
          <w:sz w:val="22"/>
          <w:szCs w:val="22"/>
          <w:lang w:eastAsia="sk-SK"/>
        </w:rPr>
        <w:t>ÚRSO-m</w:t>
      </w:r>
      <w:proofErr w:type="spellEnd"/>
      <w:r w:rsidRPr="00E71603">
        <w:rPr>
          <w:sz w:val="22"/>
          <w:szCs w:val="22"/>
          <w:lang w:eastAsia="sk-SK"/>
        </w:rPr>
        <w:t xml:space="preserve"> schválené požadované objemy </w:t>
      </w:r>
      <w:proofErr w:type="spellStart"/>
      <w:r w:rsidRPr="00E71603">
        <w:rPr>
          <w:sz w:val="22"/>
          <w:szCs w:val="22"/>
          <w:lang w:eastAsia="sk-SK"/>
        </w:rPr>
        <w:t>PpS</w:t>
      </w:r>
      <w:proofErr w:type="spellEnd"/>
      <w:r w:rsidRPr="00E71603">
        <w:rPr>
          <w:sz w:val="22"/>
          <w:szCs w:val="22"/>
          <w:lang w:eastAsia="sk-SK"/>
        </w:rPr>
        <w:t xml:space="preserve">, ktoré prevádzkovateľ PS zverejňuje na svojom webovom sídle v zmysle zákona č. 251/2012 </w:t>
      </w:r>
      <w:proofErr w:type="spellStart"/>
      <w:r w:rsidRPr="00E71603">
        <w:rPr>
          <w:sz w:val="22"/>
          <w:szCs w:val="22"/>
          <w:lang w:eastAsia="sk-SK"/>
        </w:rPr>
        <w:t>Z.z</w:t>
      </w:r>
      <w:proofErr w:type="spellEnd"/>
      <w:r w:rsidRPr="00E71603">
        <w:rPr>
          <w:sz w:val="22"/>
          <w:szCs w:val="22"/>
          <w:lang w:eastAsia="sk-SK"/>
        </w:rPr>
        <w:t xml:space="preserve">. o energetike a doplnení niektorých zákonov vždy do 30.9. na nasledujúci rok. Z tab. 2.3 je zrejmé, že najmä TRV postupne prechádzali od pomalších k rýchlejším. Služba TRVHOD (doba nábehu do 6 hodín), ktorá bola vhodná v rokoch 2005-2008, prešla v rokoch 2009-2010 na službu TRV120MIN, pri ktorej sa skrátila doba nábehu na 2 hodiny. Aj táto služba sa v roku 2011 zrušila z dôvodu nepoužiteľnosti v dispečerskom riadení a súčasne sa zvýšil objem v </w:t>
      </w:r>
      <w:proofErr w:type="spellStart"/>
      <w:r w:rsidRPr="00E71603">
        <w:rPr>
          <w:sz w:val="22"/>
          <w:szCs w:val="22"/>
          <w:lang w:eastAsia="sk-SK"/>
        </w:rPr>
        <w:t>PpS</w:t>
      </w:r>
      <w:proofErr w:type="spellEnd"/>
      <w:r w:rsidRPr="00E71603">
        <w:rPr>
          <w:sz w:val="22"/>
          <w:szCs w:val="22"/>
          <w:lang w:eastAsia="sk-SK"/>
        </w:rPr>
        <w:t xml:space="preserve"> TRV30MIN+ (doba nábehu do 30 minút).</w:t>
      </w:r>
    </w:p>
    <w:p w:rsidR="00E71603" w:rsidRPr="00E71603" w:rsidRDefault="00E71603" w:rsidP="00E71603">
      <w:pPr>
        <w:spacing w:after="120" w:line="276" w:lineRule="auto"/>
        <w:jc w:val="both"/>
        <w:rPr>
          <w:sz w:val="22"/>
          <w:szCs w:val="22"/>
          <w:lang w:eastAsia="sk-SK"/>
        </w:rPr>
      </w:pPr>
      <w:r w:rsidRPr="00E71603">
        <w:rPr>
          <w:sz w:val="22"/>
          <w:szCs w:val="22"/>
          <w:lang w:eastAsia="sk-SK"/>
        </w:rPr>
        <w:t>Aj v oblasti rýchlych TRV sa prešlo z TRV10MIN± od roku 2009 na TRV3MIN±, t. j. z času aktivácie/</w:t>
      </w:r>
      <w:proofErr w:type="spellStart"/>
      <w:r w:rsidRPr="00E71603">
        <w:rPr>
          <w:sz w:val="22"/>
          <w:szCs w:val="22"/>
          <w:lang w:eastAsia="sk-SK"/>
        </w:rPr>
        <w:t>deaktivácie</w:t>
      </w:r>
      <w:proofErr w:type="spellEnd"/>
      <w:r w:rsidRPr="00E71603">
        <w:rPr>
          <w:sz w:val="22"/>
          <w:szCs w:val="22"/>
          <w:lang w:eastAsia="sk-SK"/>
        </w:rPr>
        <w:t xml:space="preserve"> do 10 minút na čas do 3 minút. V roku 2012 bola opäť zavedená TRV10MIN±, ktorej objem vyrovnáva predpokladanú dynamiku nábehu, resp. výpadku výroby FVE. V roku 2015 bola pre potreby dispečerského riadenia namiesto TRV30MIN± zavedená rýchlejšia TRV15MIN±.</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lastRenderedPageBreak/>
        <w:t xml:space="preserve">Prínosom k zvýšeniu bezpečnosti prevádzky elektrizačnej sústavy a najmä k zníženiu potreby aktivácie regulačného výkonu v SRV a počtu aktivácií TRV bolo zapojenie sa do projektu cezhraničnej výmeny regulačnej elektriny v systéme </w:t>
      </w:r>
      <w:proofErr w:type="spellStart"/>
      <w:r w:rsidRPr="00E71603">
        <w:rPr>
          <w:iCs/>
          <w:sz w:val="22"/>
          <w:szCs w:val="22"/>
          <w:lang w:eastAsia="sk-SK"/>
        </w:rPr>
        <w:t>Grid</w:t>
      </w:r>
      <w:proofErr w:type="spellEnd"/>
      <w:r w:rsidRPr="00E71603">
        <w:rPr>
          <w:iCs/>
          <w:sz w:val="22"/>
          <w:szCs w:val="22"/>
          <w:lang w:eastAsia="sk-SK"/>
        </w:rPr>
        <w:t xml:space="preserve"> </w:t>
      </w:r>
      <w:proofErr w:type="spellStart"/>
      <w:r w:rsidRPr="00E71603">
        <w:rPr>
          <w:iCs/>
          <w:sz w:val="22"/>
          <w:szCs w:val="22"/>
          <w:lang w:eastAsia="sk-SK"/>
        </w:rPr>
        <w:t>Control</w:t>
      </w:r>
      <w:proofErr w:type="spellEnd"/>
      <w:r w:rsidRPr="00E71603">
        <w:rPr>
          <w:iCs/>
          <w:sz w:val="22"/>
          <w:szCs w:val="22"/>
          <w:lang w:eastAsia="sk-SK"/>
        </w:rPr>
        <w:t xml:space="preserve"> </w:t>
      </w:r>
      <w:proofErr w:type="spellStart"/>
      <w:r w:rsidRPr="00E71603">
        <w:rPr>
          <w:iCs/>
          <w:sz w:val="22"/>
          <w:szCs w:val="22"/>
          <w:lang w:eastAsia="sk-SK"/>
        </w:rPr>
        <w:t>Cooperation</w:t>
      </w:r>
      <w:proofErr w:type="spellEnd"/>
      <w:r w:rsidRPr="00E71603">
        <w:rPr>
          <w:iCs/>
          <w:sz w:val="22"/>
          <w:szCs w:val="22"/>
          <w:lang w:eastAsia="sk-SK"/>
        </w:rPr>
        <w:t xml:space="preserve"> (</w:t>
      </w:r>
      <w:proofErr w:type="spellStart"/>
      <w:r w:rsidRPr="00E71603">
        <w:rPr>
          <w:iCs/>
          <w:sz w:val="22"/>
          <w:szCs w:val="22"/>
          <w:lang w:eastAsia="sk-SK"/>
        </w:rPr>
        <w:t>e</w:t>
      </w:r>
      <w:r w:rsidRPr="00E71603">
        <w:rPr>
          <w:iCs/>
          <w:sz w:val="22"/>
          <w:szCs w:val="22"/>
          <w:lang w:eastAsia="sk-SK"/>
        </w:rPr>
        <w:noBreakHyphen/>
        <w:t>GCC</w:t>
      </w:r>
      <w:proofErr w:type="spellEnd"/>
      <w:r w:rsidRPr="00E71603">
        <w:rPr>
          <w:iCs/>
          <w:sz w:val="22"/>
          <w:szCs w:val="22"/>
          <w:lang w:eastAsia="sk-SK"/>
        </w:rPr>
        <w:t xml:space="preserve">) začiatkom roka 2012. V systéme </w:t>
      </w:r>
      <w:proofErr w:type="spellStart"/>
      <w:r w:rsidRPr="00E71603">
        <w:rPr>
          <w:iCs/>
          <w:sz w:val="22"/>
          <w:szCs w:val="22"/>
          <w:lang w:eastAsia="sk-SK"/>
        </w:rPr>
        <w:t>e-GCC</w:t>
      </w:r>
      <w:proofErr w:type="spellEnd"/>
      <w:r w:rsidRPr="00E71603">
        <w:rPr>
          <w:iCs/>
          <w:sz w:val="22"/>
          <w:szCs w:val="22"/>
          <w:lang w:eastAsia="sk-SK"/>
        </w:rPr>
        <w:t xml:space="preserve"> spočiatku spolupracovali iba prevádzkovatelia prenosových sústav z Česka a Slovenska. O rok neskôr do systému </w:t>
      </w:r>
      <w:proofErr w:type="spellStart"/>
      <w:r w:rsidRPr="00E71603">
        <w:rPr>
          <w:iCs/>
          <w:sz w:val="22"/>
          <w:szCs w:val="22"/>
          <w:lang w:eastAsia="sk-SK"/>
        </w:rPr>
        <w:t>e</w:t>
      </w:r>
      <w:r w:rsidRPr="00E71603">
        <w:rPr>
          <w:iCs/>
          <w:sz w:val="22"/>
          <w:szCs w:val="22"/>
          <w:lang w:eastAsia="sk-SK"/>
        </w:rPr>
        <w:noBreakHyphen/>
        <w:t>GCC</w:t>
      </w:r>
      <w:proofErr w:type="spellEnd"/>
      <w:r w:rsidRPr="00E71603">
        <w:rPr>
          <w:iCs/>
          <w:sz w:val="22"/>
          <w:szCs w:val="22"/>
          <w:lang w:eastAsia="sk-SK"/>
        </w:rPr>
        <w:t xml:space="preserve"> vstúpil aj prevádzkovateľ prenosovej sústavy Maďarska.</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 xml:space="preserve">Pred zapojením sa do systému </w:t>
      </w:r>
      <w:proofErr w:type="spellStart"/>
      <w:r w:rsidRPr="00E71603">
        <w:rPr>
          <w:iCs/>
          <w:sz w:val="22"/>
          <w:szCs w:val="22"/>
          <w:lang w:eastAsia="sk-SK"/>
        </w:rPr>
        <w:t>e-GCC</w:t>
      </w:r>
      <w:proofErr w:type="spellEnd"/>
      <w:r w:rsidRPr="00E71603">
        <w:rPr>
          <w:iCs/>
          <w:sz w:val="22"/>
          <w:szCs w:val="22"/>
          <w:lang w:eastAsia="sk-SK"/>
        </w:rPr>
        <w:t xml:space="preserve"> počet aktivácií TRV presahoval úroveň 1 500 za rok (napríklad v roku 2010 to bolo až 1 870). Už v prvom roku prevádzky </w:t>
      </w:r>
      <w:proofErr w:type="spellStart"/>
      <w:r w:rsidRPr="00E71603">
        <w:rPr>
          <w:iCs/>
          <w:sz w:val="22"/>
          <w:szCs w:val="22"/>
          <w:lang w:eastAsia="sk-SK"/>
        </w:rPr>
        <w:t>e-GCC</w:t>
      </w:r>
      <w:proofErr w:type="spellEnd"/>
      <w:r w:rsidRPr="00E71603">
        <w:rPr>
          <w:iCs/>
          <w:sz w:val="22"/>
          <w:szCs w:val="22"/>
          <w:lang w:eastAsia="sk-SK"/>
        </w:rPr>
        <w:t xml:space="preserve"> sa počet aktivácií TRV oproti roku 2011 znížil o 223. V ďalších rokoch bol pokles počtu aktivácií ešte výraznejší. V roku 2015 bol celkový počet aktivácií TRV už iba 413, v roku 2016 klesol na 192.</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 xml:space="preserve">Mimoriadne prevádzkové stavy, vyvolané prípadnými extrémnymi hydrometeorologickými podmienkami, môžu ohroziť zabezpečenosť sústavy požadovaným objemom </w:t>
      </w:r>
      <w:proofErr w:type="spellStart"/>
      <w:r w:rsidRPr="00E71603">
        <w:rPr>
          <w:iCs/>
          <w:sz w:val="22"/>
          <w:szCs w:val="22"/>
          <w:lang w:eastAsia="sk-SK"/>
        </w:rPr>
        <w:t>PpS</w:t>
      </w:r>
      <w:proofErr w:type="spellEnd"/>
      <w:r w:rsidRPr="00E71603">
        <w:rPr>
          <w:iCs/>
          <w:sz w:val="22"/>
          <w:szCs w:val="22"/>
          <w:lang w:eastAsia="sk-SK"/>
        </w:rPr>
        <w:t xml:space="preserve"> z dôvodu ovplyvnenia zdrojovej základne v regulačnej oblasti. Môžu to byť napr. vysoké hladiny vodných tokov (nasadený veľký vynútený neregulovaný výkon vodných elektrární), veľké mrazy (zamŕzanie paliva a zníženie výkonu v parných elektrárňach), vysoká teplota (obmedzenie chladenia v elektrárňach a zníženie dodávaného výkonu mimo hranice regulačných možností). Ďalšími vplyvmi sú prípadné obmedzenia dodávok zemného plynu do SR, neplánované zníženie spotreby elektriny z dôvodov ťažko predvídateľných hospodárskych alebo politických vplyvov, vysoké cezhraničné prenosy elektriny vplyvom vývoja v sektore </w:t>
      </w:r>
      <w:proofErr w:type="spellStart"/>
      <w:r w:rsidRPr="00E71603">
        <w:rPr>
          <w:iCs/>
          <w:sz w:val="22"/>
          <w:szCs w:val="22"/>
          <w:lang w:eastAsia="sk-SK"/>
        </w:rPr>
        <w:t>elektroenergetiky</w:t>
      </w:r>
      <w:proofErr w:type="spellEnd"/>
      <w:r w:rsidRPr="00E71603">
        <w:rPr>
          <w:iCs/>
          <w:sz w:val="22"/>
          <w:szCs w:val="22"/>
          <w:lang w:eastAsia="sk-SK"/>
        </w:rPr>
        <w:t xml:space="preserve"> v zahraničí a pod.</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 xml:space="preserve">Predovšetkým v prípade FVE je potrebné opakovane zdôrazniť, že FVE nielenže neposkytujú potrebné </w:t>
      </w:r>
      <w:proofErr w:type="spellStart"/>
      <w:r w:rsidRPr="00E71603">
        <w:rPr>
          <w:iCs/>
          <w:sz w:val="22"/>
          <w:szCs w:val="22"/>
          <w:lang w:eastAsia="sk-SK"/>
        </w:rPr>
        <w:t>PpS</w:t>
      </w:r>
      <w:proofErr w:type="spellEnd"/>
      <w:r w:rsidRPr="00E71603">
        <w:rPr>
          <w:iCs/>
          <w:sz w:val="22"/>
          <w:szCs w:val="22"/>
          <w:lang w:eastAsia="sk-SK"/>
        </w:rPr>
        <w:t xml:space="preserve"> pre bezpečnú prevádzku ES SR, ale naopak, ak by ich výstavba v SR výrazne stúpla, prípadne neregulovane rástla, vyžiadalo by si to nároky na dodatočné objemy regulačných výkonov v ES SR.</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 xml:space="preserve">Dňa 16.03.2017 bol na zasadnutí </w:t>
      </w:r>
      <w:proofErr w:type="spellStart"/>
      <w:r w:rsidRPr="00E71603">
        <w:rPr>
          <w:iCs/>
          <w:sz w:val="22"/>
          <w:szCs w:val="22"/>
          <w:lang w:eastAsia="sk-SK"/>
        </w:rPr>
        <w:t>komitologického</w:t>
      </w:r>
      <w:proofErr w:type="spellEnd"/>
      <w:r w:rsidRPr="00E71603">
        <w:rPr>
          <w:iCs/>
          <w:sz w:val="22"/>
          <w:szCs w:val="22"/>
          <w:lang w:eastAsia="sk-SK"/>
        </w:rPr>
        <w:t xml:space="preserve"> výboru pre cezhraničné otázky výmeny elektriny schválený finálny návrh Nariadenia Komisie EÚ, ktorým sa stanovuje usmernenie o zabezpečovaní rovnováhy v elektrizačnej sústave (predpis EB GL), ktorý by mal nadobudnúť účinnosť koncom roka 2017. Predpis EB GL zavedie nové prvky v oblasti zabezpečovania </w:t>
      </w:r>
      <w:proofErr w:type="spellStart"/>
      <w:r w:rsidRPr="00E71603">
        <w:rPr>
          <w:iCs/>
          <w:sz w:val="22"/>
          <w:szCs w:val="22"/>
          <w:lang w:eastAsia="sk-SK"/>
        </w:rPr>
        <w:t>PpS</w:t>
      </w:r>
      <w:proofErr w:type="spellEnd"/>
      <w:r w:rsidRPr="00E71603">
        <w:rPr>
          <w:iCs/>
          <w:sz w:val="22"/>
          <w:szCs w:val="22"/>
          <w:lang w:eastAsia="sk-SK"/>
        </w:rPr>
        <w:t xml:space="preserve">, pričom by sa mala vytvoriť spoločná kniha objednávok na aktiváciu regulačnej elektriny v rámci celej Európy. Tento predpis bude mať vplyv nielen na spôsob obstarávania </w:t>
      </w:r>
      <w:proofErr w:type="spellStart"/>
      <w:r w:rsidRPr="00E71603">
        <w:rPr>
          <w:iCs/>
          <w:sz w:val="22"/>
          <w:szCs w:val="22"/>
          <w:lang w:eastAsia="sk-SK"/>
        </w:rPr>
        <w:t>PpS</w:t>
      </w:r>
      <w:proofErr w:type="spellEnd"/>
      <w:r w:rsidRPr="00E71603">
        <w:rPr>
          <w:iCs/>
          <w:sz w:val="22"/>
          <w:szCs w:val="22"/>
          <w:lang w:eastAsia="sk-SK"/>
        </w:rPr>
        <w:t xml:space="preserve">, ale aj na samotnú štruktúru (jednotlivé typy) </w:t>
      </w:r>
      <w:proofErr w:type="spellStart"/>
      <w:r w:rsidRPr="00E71603">
        <w:rPr>
          <w:iCs/>
          <w:sz w:val="22"/>
          <w:szCs w:val="22"/>
          <w:lang w:eastAsia="sk-SK"/>
        </w:rPr>
        <w:t>PpS</w:t>
      </w:r>
      <w:proofErr w:type="spellEnd"/>
      <w:r w:rsidRPr="00E71603">
        <w:rPr>
          <w:iCs/>
          <w:sz w:val="22"/>
          <w:szCs w:val="22"/>
          <w:lang w:eastAsia="sk-SK"/>
        </w:rPr>
        <w:t>, nakoľko definuje vytvorenie štandardných produktov v rámci celej Európy.</w:t>
      </w:r>
    </w:p>
    <w:p w:rsidR="00E71603" w:rsidRPr="00E71603" w:rsidRDefault="00E71603" w:rsidP="00E71603">
      <w:pPr>
        <w:spacing w:after="120" w:line="276" w:lineRule="auto"/>
        <w:jc w:val="both"/>
        <w:rPr>
          <w:sz w:val="22"/>
          <w:szCs w:val="22"/>
          <w:lang w:eastAsia="sk-SK"/>
        </w:rPr>
      </w:pPr>
      <w:r w:rsidRPr="00E71603">
        <w:rPr>
          <w:iCs/>
          <w:sz w:val="22"/>
          <w:szCs w:val="22"/>
          <w:lang w:eastAsia="sk-SK"/>
        </w:rPr>
        <w:t>Pre prevádzkovateľa PS vyplývajú z tohto predpisu viaceré možné riziká a to najmä povinnosť obstarávať sekundárnu reguláciu výkonu zvlášť v kladnom a zvlášť v zápornom smere a povinnosť zavedenia štandardných produktov, ktoré sa môžu líšiť od súčasne používaných produktov v rámci regulačnej oblasti SR. Schválená verzia predpisu EB GL ustanovuje vypracovanie celoeurópskej metodiky pre zúčtovanie ceny regulačnej elektriny, ktorá by mala byť rovnaká pre všetky členské štáty. Cena regulačnej elektriny sa bude tvoriť na základe spoločného cenového rebríčka, na základe ktorého budú aktivovať regulačnú elektrinu všetky členské štáty. Po implementácii predpisu EB GL bude cena regulačnej elektriny ovplyvnená cenami regulačnej elektriny a konaním všetkých subjektov zúčtovania v rámci celej Európy.</w:t>
      </w:r>
    </w:p>
    <w:p w:rsidR="00E71603" w:rsidRPr="00E71603" w:rsidRDefault="00E71603" w:rsidP="00E71603">
      <w:pPr>
        <w:numPr>
          <w:ilvl w:val="1"/>
          <w:numId w:val="14"/>
        </w:numPr>
        <w:spacing w:before="360" w:after="240" w:line="276" w:lineRule="auto"/>
        <w:ind w:left="426" w:hanging="426"/>
        <w:jc w:val="both"/>
        <w:outlineLvl w:val="1"/>
        <w:rPr>
          <w:b/>
          <w:lang w:eastAsia="sk-SK"/>
        </w:rPr>
      </w:pPr>
      <w:bookmarkStart w:id="11" w:name="_Toc487558004"/>
      <w:r w:rsidRPr="00E71603">
        <w:rPr>
          <w:b/>
          <w:lang w:eastAsia="sk-SK"/>
        </w:rPr>
        <w:t>Alokácia prenosových kapacít na cezhraničných profiloch PS SR</w:t>
      </w:r>
      <w:bookmarkEnd w:id="11"/>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Prenosové kapacity na cezhraničných profiloch PS SR sú prideľované v niekoľkých časových rámcoch – na ročnej, mesačnej, dennej a </w:t>
      </w:r>
      <w:proofErr w:type="spellStart"/>
      <w:r w:rsidRPr="00E71603">
        <w:rPr>
          <w:sz w:val="22"/>
          <w:szCs w:val="22"/>
          <w:lang w:eastAsia="sk-SK"/>
        </w:rPr>
        <w:t>vnútrodennej</w:t>
      </w:r>
      <w:proofErr w:type="spellEnd"/>
      <w:r w:rsidRPr="00E71603">
        <w:rPr>
          <w:sz w:val="22"/>
          <w:szCs w:val="22"/>
          <w:lang w:eastAsia="sk-SK"/>
        </w:rPr>
        <w:t xml:space="preserve"> báze. Na prideľovanie kapacít sú v závislosti od príslušného časového rámca a príslušného cezhraničného profilu aplikované postupy explicitných aukcií, implicitných aukcií a explicitných alokácií metódou </w:t>
      </w:r>
      <w:proofErr w:type="spellStart"/>
      <w:r w:rsidRPr="00E71603">
        <w:rPr>
          <w:sz w:val="22"/>
          <w:szCs w:val="22"/>
          <w:lang w:eastAsia="sk-SK"/>
        </w:rPr>
        <w:t>First</w:t>
      </w:r>
      <w:proofErr w:type="spellEnd"/>
      <w:r w:rsidRPr="00E71603">
        <w:rPr>
          <w:sz w:val="22"/>
          <w:szCs w:val="22"/>
          <w:lang w:eastAsia="sk-SK"/>
        </w:rPr>
        <w:t xml:space="preserve"> </w:t>
      </w:r>
      <w:proofErr w:type="spellStart"/>
      <w:r w:rsidRPr="00E71603">
        <w:rPr>
          <w:sz w:val="22"/>
          <w:szCs w:val="22"/>
          <w:lang w:eastAsia="sk-SK"/>
        </w:rPr>
        <w:t>Comes</w:t>
      </w:r>
      <w:proofErr w:type="spellEnd"/>
      <w:r w:rsidRPr="00E71603">
        <w:rPr>
          <w:sz w:val="22"/>
          <w:szCs w:val="22"/>
          <w:lang w:eastAsia="sk-SK"/>
        </w:rPr>
        <w:t xml:space="preserve"> </w:t>
      </w:r>
      <w:proofErr w:type="spellStart"/>
      <w:r w:rsidRPr="00E71603">
        <w:rPr>
          <w:sz w:val="22"/>
          <w:szCs w:val="22"/>
          <w:lang w:eastAsia="sk-SK"/>
        </w:rPr>
        <w:t>First</w:t>
      </w:r>
      <w:proofErr w:type="spellEnd"/>
      <w:r w:rsidRPr="00E71603">
        <w:rPr>
          <w:sz w:val="22"/>
          <w:szCs w:val="22"/>
          <w:lang w:eastAsia="sk-SK"/>
        </w:rPr>
        <w:t xml:space="preserve"> </w:t>
      </w:r>
      <w:proofErr w:type="spellStart"/>
      <w:r w:rsidRPr="00E71603">
        <w:rPr>
          <w:sz w:val="22"/>
          <w:szCs w:val="22"/>
          <w:lang w:eastAsia="sk-SK"/>
        </w:rPr>
        <w:t>Served</w:t>
      </w:r>
      <w:proofErr w:type="spellEnd"/>
      <w:r w:rsidRPr="00E71603">
        <w:rPr>
          <w:sz w:val="22"/>
          <w:szCs w:val="22"/>
          <w:lang w:eastAsia="sk-SK"/>
        </w:rPr>
        <w:t xml:space="preserve"> (FCFS), kedy </w:t>
      </w:r>
      <w:r w:rsidRPr="00E71603">
        <w:rPr>
          <w:sz w:val="22"/>
          <w:szCs w:val="22"/>
          <w:lang w:eastAsia="sk-SK"/>
        </w:rPr>
        <w:lastRenderedPageBreak/>
        <w:t>požiadavky na pridelenie kapacity sú vyhodnocované priebežne v poradí, v akom sú prijaté alokačným systémom.</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Prideľovanie cezhraničných prenosových kapacít na profile PS SR (SEPS) s Poľskom (PSE) a s Maďarskom (MAVIR) prebiehalo v roku 2016 prostredníctvom aukčnej kancelárie </w:t>
      </w:r>
      <w:proofErr w:type="spellStart"/>
      <w:r w:rsidRPr="00E71603">
        <w:rPr>
          <w:sz w:val="22"/>
          <w:szCs w:val="22"/>
          <w:lang w:eastAsia="sk-SK"/>
        </w:rPr>
        <w:t>Joint</w:t>
      </w:r>
      <w:proofErr w:type="spellEnd"/>
      <w:r w:rsidRPr="00E71603">
        <w:rPr>
          <w:sz w:val="22"/>
          <w:szCs w:val="22"/>
          <w:lang w:eastAsia="sk-SK"/>
        </w:rPr>
        <w:t xml:space="preserve"> </w:t>
      </w:r>
      <w:proofErr w:type="spellStart"/>
      <w:r w:rsidRPr="00E71603">
        <w:rPr>
          <w:sz w:val="22"/>
          <w:szCs w:val="22"/>
          <w:lang w:eastAsia="sk-SK"/>
        </w:rPr>
        <w:t>Allocation</w:t>
      </w:r>
      <w:proofErr w:type="spellEnd"/>
      <w:r w:rsidRPr="00E71603">
        <w:rPr>
          <w:sz w:val="22"/>
          <w:szCs w:val="22"/>
          <w:lang w:eastAsia="sk-SK"/>
        </w:rPr>
        <w:t xml:space="preserve"> Office S.A. (JAO) so sídlom v Luxemburgu. JAO vznikla v roku 2015 zlúčením dvoch regionálnych alokačných kancelárií CAO a CASC. JAO poskytuje služby dvadsiatim operátorom prenosových sústav zo sedemnástich európskych krajín. Hlavnou činnosťou JAO je vykonávanie ročných, mesačných a denných aukcií prenosových kapacít na dvadsiatich siedmich cezhraničných profiloch.</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Na dennej báze boli cezhraničné kapacity na profiloch SEPS/MAVIR a SEPS/ČEPS prideľované implicitne v rámci procedúry štvorstranného </w:t>
      </w:r>
      <w:proofErr w:type="spellStart"/>
      <w:r w:rsidRPr="00E71603">
        <w:rPr>
          <w:sz w:val="22"/>
          <w:szCs w:val="22"/>
          <w:lang w:eastAsia="sk-SK"/>
        </w:rPr>
        <w:t>Market</w:t>
      </w:r>
      <w:proofErr w:type="spellEnd"/>
      <w:r w:rsidRPr="00E71603">
        <w:rPr>
          <w:sz w:val="22"/>
          <w:szCs w:val="22"/>
          <w:lang w:eastAsia="sk-SK"/>
        </w:rPr>
        <w:t xml:space="preserve"> </w:t>
      </w:r>
      <w:proofErr w:type="spellStart"/>
      <w:r w:rsidRPr="00E71603">
        <w:rPr>
          <w:sz w:val="22"/>
          <w:szCs w:val="22"/>
          <w:lang w:eastAsia="sk-SK"/>
        </w:rPr>
        <w:t>couplingu</w:t>
      </w:r>
      <w:proofErr w:type="spellEnd"/>
      <w:r w:rsidRPr="00E71603">
        <w:rPr>
          <w:sz w:val="22"/>
          <w:szCs w:val="22"/>
          <w:lang w:eastAsia="sk-SK"/>
        </w:rPr>
        <w:t xml:space="preserve"> medzi Českou republikou, Slovenskom, Maďarskom a Rumunskom (4M MC), ktorého prevádzka začala 19. novembra 2014. Prevádzka počas roka 2016 bola bez mimoriadnych prevádzkových stavov.</w:t>
      </w:r>
    </w:p>
    <w:p w:rsidR="00E71603" w:rsidRPr="00E71603" w:rsidRDefault="00E71603" w:rsidP="00E71603">
      <w:pPr>
        <w:spacing w:after="120" w:line="276" w:lineRule="auto"/>
        <w:jc w:val="both"/>
        <w:rPr>
          <w:sz w:val="22"/>
          <w:szCs w:val="22"/>
          <w:lang w:eastAsia="sk-SK"/>
        </w:rPr>
      </w:pPr>
      <w:r w:rsidRPr="00E71603">
        <w:rPr>
          <w:sz w:val="22"/>
          <w:szCs w:val="22"/>
          <w:lang w:eastAsia="sk-SK"/>
        </w:rPr>
        <w:t>Na cezhraničnom profile s Českou republikou nie je zavedené prideľovanie prenosových kapacít na ročnej/mesačnej báze formou aukcií, ale účastníci trhu majú možnosť svoje cezhraničné prenosy voľne nominovať do času D-2 17,00 hod. (kde D je deň prenosu). Prevádzkovatelia PS SEPS a ČEPS si vyhradzujú právo požadované odsúhlasené hodnoty prenosov skrátiť v prípade ohrozenia bezpečnej a spoľahlivej prevádzky z dôvodu neplnenia bezpečnostných kritérií vyplývajúcich z „</w:t>
      </w:r>
      <w:proofErr w:type="spellStart"/>
      <w:r w:rsidRPr="00E71603">
        <w:rPr>
          <w:sz w:val="22"/>
          <w:szCs w:val="22"/>
          <w:lang w:eastAsia="sk-SK"/>
        </w:rPr>
        <w:t>Operational</w:t>
      </w:r>
      <w:proofErr w:type="spellEnd"/>
      <w:r w:rsidRPr="00E71603">
        <w:rPr>
          <w:sz w:val="22"/>
          <w:szCs w:val="22"/>
          <w:lang w:eastAsia="sk-SK"/>
        </w:rPr>
        <w:t xml:space="preserve"> </w:t>
      </w:r>
      <w:proofErr w:type="spellStart"/>
      <w:r w:rsidRPr="00E71603">
        <w:rPr>
          <w:sz w:val="22"/>
          <w:szCs w:val="22"/>
          <w:lang w:eastAsia="sk-SK"/>
        </w:rPr>
        <w:t>Handbook</w:t>
      </w:r>
      <w:proofErr w:type="spellEnd"/>
      <w:r w:rsidRPr="00E71603">
        <w:rPr>
          <w:sz w:val="22"/>
          <w:szCs w:val="22"/>
          <w:lang w:eastAsia="sk-SK"/>
        </w:rPr>
        <w:t xml:space="preserve"> ENTSO-E </w:t>
      </w:r>
      <w:proofErr w:type="spellStart"/>
      <w:r w:rsidRPr="00E71603">
        <w:rPr>
          <w:sz w:val="22"/>
          <w:szCs w:val="22"/>
          <w:lang w:eastAsia="sk-SK"/>
        </w:rPr>
        <w:t>Policy</w:t>
      </w:r>
      <w:proofErr w:type="spellEnd"/>
      <w:r w:rsidRPr="00E71603">
        <w:rPr>
          <w:sz w:val="22"/>
          <w:szCs w:val="22"/>
          <w:lang w:eastAsia="sk-SK"/>
        </w:rPr>
        <w:t xml:space="preserve"> 3: </w:t>
      </w:r>
      <w:proofErr w:type="spellStart"/>
      <w:r w:rsidRPr="00E71603">
        <w:rPr>
          <w:sz w:val="22"/>
          <w:szCs w:val="22"/>
          <w:lang w:eastAsia="sk-SK"/>
        </w:rPr>
        <w:t>Operational</w:t>
      </w:r>
      <w:proofErr w:type="spellEnd"/>
      <w:r w:rsidRPr="00E71603">
        <w:rPr>
          <w:sz w:val="22"/>
          <w:szCs w:val="22"/>
          <w:lang w:eastAsia="sk-SK"/>
        </w:rPr>
        <w:t xml:space="preserve"> </w:t>
      </w:r>
      <w:proofErr w:type="spellStart"/>
      <w:r w:rsidRPr="00E71603">
        <w:rPr>
          <w:sz w:val="22"/>
          <w:szCs w:val="22"/>
          <w:lang w:eastAsia="sk-SK"/>
        </w:rPr>
        <w:t>Security</w:t>
      </w:r>
      <w:proofErr w:type="spellEnd"/>
      <w:r w:rsidRPr="00E71603">
        <w:rPr>
          <w:sz w:val="22"/>
          <w:szCs w:val="22"/>
          <w:lang w:eastAsia="sk-SK"/>
        </w:rPr>
        <w:t>“. V takomto prípade sú požadované odsúhlasené hodnoty v danej hodine a danom smere skrátené na nulovú hodnotu a celý kapacitný limit profilu je v danej hodine a danom smere poskytnutý do implicitnej aukcie v rámci 4M MC.</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Aukčná kancelária SEPS organizovala v roku 2016 prideľovanie prenosových kapacitných práv na cezhraničnom profile PS SR s Ukrajinou (WPS). Prideľovanie cezhraničných prenosových kapacít sa uskutočňovalo formou mesačných a denných explicitných jednostranných aukcií podľa pravidiel zverejnených na webovom sídle </w:t>
      </w:r>
      <w:proofErr w:type="spellStart"/>
      <w:r w:rsidRPr="00E71603">
        <w:rPr>
          <w:sz w:val="22"/>
          <w:szCs w:val="22"/>
          <w:lang w:eastAsia="sk-SK"/>
        </w:rPr>
        <w:t>www.sepsas.sk</w:t>
      </w:r>
      <w:proofErr w:type="spellEnd"/>
      <w:r w:rsidRPr="00E71603">
        <w:rPr>
          <w:sz w:val="22"/>
          <w:szCs w:val="22"/>
          <w:lang w:eastAsia="sk-SK"/>
        </w:rPr>
        <w:t>.</w:t>
      </w:r>
    </w:p>
    <w:tbl>
      <w:tblPr>
        <w:tblStyle w:val="Mriekatabuky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27"/>
      </w:tblGrid>
      <w:tr w:rsidR="00E71603" w:rsidRPr="00E71603" w:rsidTr="00E71603">
        <w:trPr>
          <w:trHeight w:val="1062"/>
        </w:trPr>
        <w:tc>
          <w:tcPr>
            <w:tcW w:w="9027" w:type="dxa"/>
          </w:tcPr>
          <w:bookmarkStart w:id="12" w:name="_MON_1517644176"/>
          <w:bookmarkEnd w:id="12"/>
          <w:p w:rsidR="00E71603" w:rsidRPr="00E71603" w:rsidRDefault="00E71603" w:rsidP="00E71603">
            <w:pPr>
              <w:autoSpaceDE w:val="0"/>
              <w:autoSpaceDN w:val="0"/>
              <w:adjustRightInd w:val="0"/>
              <w:spacing w:after="120" w:line="259" w:lineRule="auto"/>
              <w:jc w:val="center"/>
              <w:rPr>
                <w:rFonts w:ascii="Arial" w:hAnsi="Arial" w:cs="Arial"/>
                <w:iCs/>
                <w:sz w:val="22"/>
                <w:szCs w:val="22"/>
              </w:rPr>
            </w:pPr>
            <w:r w:rsidRPr="00E71603">
              <w:rPr>
                <w:rFonts w:ascii="Arial" w:eastAsia="Times New Roman" w:hAnsi="Arial" w:cs="Arial"/>
                <w:iCs/>
                <w:sz w:val="22"/>
                <w:szCs w:val="22"/>
              </w:rPr>
              <w:object w:dxaOrig="12360" w:dyaOrig="6946">
                <v:shape id="_x0000_i1025" type="#_x0000_t75" style="width:419.25pt;height:263.25pt" o:ole="">
                  <v:imagedata r:id="rId30" o:title=""/>
                </v:shape>
                <o:OLEObject Type="Embed" ProgID="Excel.Sheet.12" ShapeID="_x0000_i1025" DrawAspect="Content" ObjectID="_1565158767" r:id="rId31"/>
              </w:object>
            </w:r>
          </w:p>
        </w:tc>
      </w:tr>
    </w:tbl>
    <w:p w:rsidR="00E71603" w:rsidRPr="00E71603" w:rsidRDefault="00E71603" w:rsidP="00E71603">
      <w:pPr>
        <w:spacing w:before="60" w:after="240" w:line="276" w:lineRule="auto"/>
        <w:jc w:val="center"/>
        <w:rPr>
          <w:b/>
          <w:i/>
          <w:iCs/>
          <w:sz w:val="22"/>
          <w:szCs w:val="22"/>
          <w:lang w:eastAsia="sk-SK"/>
        </w:rPr>
      </w:pPr>
      <w:r w:rsidRPr="00E71603">
        <w:rPr>
          <w:b/>
          <w:i/>
          <w:iCs/>
          <w:sz w:val="22"/>
          <w:szCs w:val="22"/>
          <w:lang w:eastAsia="sk-SK"/>
        </w:rPr>
        <w:t>Obr. 2.4  Prehľad režimu prideľovania kapacít na cezhraničných profiloch SEPS</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lastRenderedPageBreak/>
        <w:t>Na profiloch SEPS/</w:t>
      </w:r>
      <w:r w:rsidRPr="00E71603">
        <w:rPr>
          <w:rFonts w:hint="cs"/>
          <w:iCs/>
          <w:sz w:val="22"/>
          <w:szCs w:val="22"/>
          <w:lang w:eastAsia="sk-SK"/>
        </w:rPr>
        <w:t>Č</w:t>
      </w:r>
      <w:r w:rsidRPr="00E71603">
        <w:rPr>
          <w:iCs/>
          <w:sz w:val="22"/>
          <w:szCs w:val="22"/>
          <w:lang w:eastAsia="sk-SK"/>
        </w:rPr>
        <w:t>EPS, SEPS/PSE a SEPS/MAVIR s</w:t>
      </w:r>
      <w:r w:rsidRPr="00E71603">
        <w:rPr>
          <w:rFonts w:hint="cs"/>
          <w:iCs/>
          <w:sz w:val="22"/>
          <w:szCs w:val="22"/>
          <w:lang w:eastAsia="sk-SK"/>
        </w:rPr>
        <w:t>ú</w:t>
      </w:r>
      <w:r w:rsidRPr="00E71603">
        <w:rPr>
          <w:iCs/>
          <w:sz w:val="22"/>
          <w:szCs w:val="22"/>
          <w:lang w:eastAsia="sk-SK"/>
        </w:rPr>
        <w:t xml:space="preserve"> cezhrani</w:t>
      </w:r>
      <w:r w:rsidRPr="00E71603">
        <w:rPr>
          <w:rFonts w:hint="cs"/>
          <w:iCs/>
          <w:sz w:val="22"/>
          <w:szCs w:val="22"/>
          <w:lang w:eastAsia="sk-SK"/>
        </w:rPr>
        <w:t>č</w:t>
      </w:r>
      <w:r w:rsidRPr="00E71603">
        <w:rPr>
          <w:iCs/>
          <w:sz w:val="22"/>
          <w:szCs w:val="22"/>
          <w:lang w:eastAsia="sk-SK"/>
        </w:rPr>
        <w:t>n</w:t>
      </w:r>
      <w:r w:rsidRPr="00E71603">
        <w:rPr>
          <w:rFonts w:hint="cs"/>
          <w:iCs/>
          <w:sz w:val="22"/>
          <w:szCs w:val="22"/>
          <w:lang w:eastAsia="sk-SK"/>
        </w:rPr>
        <w:t>é</w:t>
      </w:r>
      <w:r w:rsidRPr="00E71603">
        <w:rPr>
          <w:iCs/>
          <w:sz w:val="22"/>
          <w:szCs w:val="22"/>
          <w:lang w:eastAsia="sk-SK"/>
        </w:rPr>
        <w:t xml:space="preserve"> kapacity pride</w:t>
      </w:r>
      <w:r w:rsidRPr="00E71603">
        <w:rPr>
          <w:rFonts w:hint="cs"/>
          <w:iCs/>
          <w:sz w:val="22"/>
          <w:szCs w:val="22"/>
          <w:lang w:eastAsia="sk-SK"/>
        </w:rPr>
        <w:t>ľ</w:t>
      </w:r>
      <w:r w:rsidRPr="00E71603">
        <w:rPr>
          <w:iCs/>
          <w:sz w:val="22"/>
          <w:szCs w:val="22"/>
          <w:lang w:eastAsia="sk-SK"/>
        </w:rPr>
        <w:t>ovan</w:t>
      </w:r>
      <w:r w:rsidRPr="00E71603">
        <w:rPr>
          <w:rFonts w:hint="cs"/>
          <w:iCs/>
          <w:sz w:val="22"/>
          <w:szCs w:val="22"/>
          <w:lang w:eastAsia="sk-SK"/>
        </w:rPr>
        <w:t>é</w:t>
      </w:r>
      <w:r w:rsidRPr="00E71603">
        <w:rPr>
          <w:iCs/>
          <w:sz w:val="22"/>
          <w:szCs w:val="22"/>
          <w:lang w:eastAsia="sk-SK"/>
        </w:rPr>
        <w:t xml:space="preserve"> aj na </w:t>
      </w:r>
      <w:proofErr w:type="spellStart"/>
      <w:r w:rsidRPr="00E71603">
        <w:rPr>
          <w:iCs/>
          <w:sz w:val="22"/>
          <w:szCs w:val="22"/>
          <w:lang w:eastAsia="sk-SK"/>
        </w:rPr>
        <w:t>vn</w:t>
      </w:r>
      <w:r w:rsidRPr="00E71603">
        <w:rPr>
          <w:rFonts w:hint="cs"/>
          <w:iCs/>
          <w:sz w:val="22"/>
          <w:szCs w:val="22"/>
          <w:lang w:eastAsia="sk-SK"/>
        </w:rPr>
        <w:t>ú</w:t>
      </w:r>
      <w:r w:rsidRPr="00E71603">
        <w:rPr>
          <w:iCs/>
          <w:sz w:val="22"/>
          <w:szCs w:val="22"/>
          <w:lang w:eastAsia="sk-SK"/>
        </w:rPr>
        <w:t>trodennej</w:t>
      </w:r>
      <w:proofErr w:type="spellEnd"/>
      <w:r w:rsidRPr="00E71603">
        <w:rPr>
          <w:iCs/>
          <w:sz w:val="22"/>
          <w:szCs w:val="22"/>
          <w:lang w:eastAsia="sk-SK"/>
        </w:rPr>
        <w:t xml:space="preserve"> b</w:t>
      </w:r>
      <w:r w:rsidRPr="00E71603">
        <w:rPr>
          <w:rFonts w:hint="cs"/>
          <w:iCs/>
          <w:sz w:val="22"/>
          <w:szCs w:val="22"/>
          <w:lang w:eastAsia="sk-SK"/>
        </w:rPr>
        <w:t>á</w:t>
      </w:r>
      <w:r w:rsidRPr="00E71603">
        <w:rPr>
          <w:iCs/>
          <w:sz w:val="22"/>
          <w:szCs w:val="22"/>
          <w:lang w:eastAsia="sk-SK"/>
        </w:rPr>
        <w:t>ze. Funkciu entity, ktor</w:t>
      </w:r>
      <w:r w:rsidRPr="00E71603">
        <w:rPr>
          <w:rFonts w:hint="cs"/>
          <w:iCs/>
          <w:sz w:val="22"/>
          <w:szCs w:val="22"/>
          <w:lang w:eastAsia="sk-SK"/>
        </w:rPr>
        <w:t>á</w:t>
      </w:r>
      <w:r w:rsidRPr="00E71603">
        <w:rPr>
          <w:iCs/>
          <w:sz w:val="22"/>
          <w:szCs w:val="22"/>
          <w:lang w:eastAsia="sk-SK"/>
        </w:rPr>
        <w:t xml:space="preserve"> zabezpe</w:t>
      </w:r>
      <w:r w:rsidRPr="00E71603">
        <w:rPr>
          <w:rFonts w:hint="cs"/>
          <w:iCs/>
          <w:sz w:val="22"/>
          <w:szCs w:val="22"/>
          <w:lang w:eastAsia="sk-SK"/>
        </w:rPr>
        <w:t>č</w:t>
      </w:r>
      <w:r w:rsidRPr="00E71603">
        <w:rPr>
          <w:iCs/>
          <w:sz w:val="22"/>
          <w:szCs w:val="22"/>
          <w:lang w:eastAsia="sk-SK"/>
        </w:rPr>
        <w:t>uje pride</w:t>
      </w:r>
      <w:r w:rsidRPr="00E71603">
        <w:rPr>
          <w:rFonts w:hint="cs"/>
          <w:iCs/>
          <w:sz w:val="22"/>
          <w:szCs w:val="22"/>
          <w:lang w:eastAsia="sk-SK"/>
        </w:rPr>
        <w:t>ľ</w:t>
      </w:r>
      <w:r w:rsidRPr="00E71603">
        <w:rPr>
          <w:iCs/>
          <w:sz w:val="22"/>
          <w:szCs w:val="22"/>
          <w:lang w:eastAsia="sk-SK"/>
        </w:rPr>
        <w:t>ovanie kapac</w:t>
      </w:r>
      <w:r w:rsidRPr="00E71603">
        <w:rPr>
          <w:rFonts w:hint="cs"/>
          <w:iCs/>
          <w:sz w:val="22"/>
          <w:szCs w:val="22"/>
          <w:lang w:eastAsia="sk-SK"/>
        </w:rPr>
        <w:t>í</w:t>
      </w:r>
      <w:r w:rsidRPr="00E71603">
        <w:rPr>
          <w:iCs/>
          <w:sz w:val="22"/>
          <w:szCs w:val="22"/>
          <w:lang w:eastAsia="sk-SK"/>
        </w:rPr>
        <w:t>t vykon</w:t>
      </w:r>
      <w:r w:rsidRPr="00E71603">
        <w:rPr>
          <w:rFonts w:hint="cs"/>
          <w:iCs/>
          <w:sz w:val="22"/>
          <w:szCs w:val="22"/>
          <w:lang w:eastAsia="sk-SK"/>
        </w:rPr>
        <w:t>á</w:t>
      </w:r>
      <w:r w:rsidRPr="00E71603">
        <w:rPr>
          <w:iCs/>
          <w:sz w:val="22"/>
          <w:szCs w:val="22"/>
          <w:lang w:eastAsia="sk-SK"/>
        </w:rPr>
        <w:t xml:space="preserve">va </w:t>
      </w:r>
      <w:r w:rsidRPr="00E71603">
        <w:rPr>
          <w:rFonts w:hint="cs"/>
          <w:iCs/>
          <w:sz w:val="22"/>
          <w:szCs w:val="22"/>
          <w:lang w:eastAsia="sk-SK"/>
        </w:rPr>
        <w:t>Č</w:t>
      </w:r>
      <w:r w:rsidRPr="00E71603">
        <w:rPr>
          <w:iCs/>
          <w:sz w:val="22"/>
          <w:szCs w:val="22"/>
          <w:lang w:eastAsia="sk-SK"/>
        </w:rPr>
        <w:t>EPS. Kapacity s</w:t>
      </w:r>
      <w:r w:rsidRPr="00E71603">
        <w:rPr>
          <w:rFonts w:hint="cs"/>
          <w:iCs/>
          <w:sz w:val="22"/>
          <w:szCs w:val="22"/>
          <w:lang w:eastAsia="sk-SK"/>
        </w:rPr>
        <w:t>ú</w:t>
      </w:r>
      <w:r w:rsidRPr="00E71603">
        <w:rPr>
          <w:iCs/>
          <w:sz w:val="22"/>
          <w:szCs w:val="22"/>
          <w:lang w:eastAsia="sk-SK"/>
        </w:rPr>
        <w:t xml:space="preserve"> pride</w:t>
      </w:r>
      <w:r w:rsidRPr="00E71603">
        <w:rPr>
          <w:rFonts w:hint="cs"/>
          <w:iCs/>
          <w:sz w:val="22"/>
          <w:szCs w:val="22"/>
          <w:lang w:eastAsia="sk-SK"/>
        </w:rPr>
        <w:t>ľ</w:t>
      </w:r>
      <w:r w:rsidRPr="00E71603">
        <w:rPr>
          <w:iCs/>
          <w:sz w:val="22"/>
          <w:szCs w:val="22"/>
          <w:lang w:eastAsia="sk-SK"/>
        </w:rPr>
        <w:t>ovan</w:t>
      </w:r>
      <w:r w:rsidRPr="00E71603">
        <w:rPr>
          <w:rFonts w:hint="cs"/>
          <w:iCs/>
          <w:sz w:val="22"/>
          <w:szCs w:val="22"/>
          <w:lang w:eastAsia="sk-SK"/>
        </w:rPr>
        <w:t>é</w:t>
      </w:r>
      <w:r w:rsidRPr="00E71603">
        <w:rPr>
          <w:iCs/>
          <w:sz w:val="22"/>
          <w:szCs w:val="22"/>
          <w:lang w:eastAsia="sk-SK"/>
        </w:rPr>
        <w:t xml:space="preserve"> bezodplatne, po</w:t>
      </w:r>
      <w:r w:rsidRPr="00E71603">
        <w:rPr>
          <w:rFonts w:hint="cs"/>
          <w:iCs/>
          <w:sz w:val="22"/>
          <w:szCs w:val="22"/>
          <w:lang w:eastAsia="sk-SK"/>
        </w:rPr>
        <w:t>ž</w:t>
      </w:r>
      <w:r w:rsidRPr="00E71603">
        <w:rPr>
          <w:iCs/>
          <w:sz w:val="22"/>
          <w:szCs w:val="22"/>
          <w:lang w:eastAsia="sk-SK"/>
        </w:rPr>
        <w:t>iadavky na kapacitu s</w:t>
      </w:r>
      <w:r w:rsidRPr="00E71603">
        <w:rPr>
          <w:rFonts w:hint="cs"/>
          <w:iCs/>
          <w:sz w:val="22"/>
          <w:szCs w:val="22"/>
          <w:lang w:eastAsia="sk-SK"/>
        </w:rPr>
        <w:t>ú</w:t>
      </w:r>
      <w:r w:rsidRPr="00E71603">
        <w:rPr>
          <w:iCs/>
          <w:sz w:val="22"/>
          <w:szCs w:val="22"/>
          <w:lang w:eastAsia="sk-SK"/>
        </w:rPr>
        <w:t xml:space="preserve"> vyhodnocovan</w:t>
      </w:r>
      <w:r w:rsidRPr="00E71603">
        <w:rPr>
          <w:rFonts w:hint="cs"/>
          <w:iCs/>
          <w:sz w:val="22"/>
          <w:szCs w:val="22"/>
          <w:lang w:eastAsia="sk-SK"/>
        </w:rPr>
        <w:t>é</w:t>
      </w:r>
      <w:r w:rsidRPr="00E71603">
        <w:rPr>
          <w:iCs/>
          <w:sz w:val="22"/>
          <w:szCs w:val="22"/>
          <w:lang w:eastAsia="sk-SK"/>
        </w:rPr>
        <w:t xml:space="preserve"> v porad</w:t>
      </w:r>
      <w:r w:rsidRPr="00E71603">
        <w:rPr>
          <w:rFonts w:hint="cs"/>
          <w:iCs/>
          <w:sz w:val="22"/>
          <w:szCs w:val="22"/>
          <w:lang w:eastAsia="sk-SK"/>
        </w:rPr>
        <w:t>í</w:t>
      </w:r>
      <w:r w:rsidRPr="00E71603">
        <w:rPr>
          <w:iCs/>
          <w:sz w:val="22"/>
          <w:szCs w:val="22"/>
          <w:lang w:eastAsia="sk-SK"/>
        </w:rPr>
        <w:t>, v akom pr</w:t>
      </w:r>
      <w:r w:rsidRPr="00E71603">
        <w:rPr>
          <w:rFonts w:hint="cs"/>
          <w:iCs/>
          <w:sz w:val="22"/>
          <w:szCs w:val="22"/>
          <w:lang w:eastAsia="sk-SK"/>
        </w:rPr>
        <w:t>í</w:t>
      </w:r>
      <w:r w:rsidRPr="00E71603">
        <w:rPr>
          <w:iCs/>
          <w:sz w:val="22"/>
          <w:szCs w:val="22"/>
          <w:lang w:eastAsia="sk-SK"/>
        </w:rPr>
        <w:t>du do informa</w:t>
      </w:r>
      <w:r w:rsidRPr="00E71603">
        <w:rPr>
          <w:rFonts w:hint="cs"/>
          <w:iCs/>
          <w:sz w:val="22"/>
          <w:szCs w:val="22"/>
          <w:lang w:eastAsia="sk-SK"/>
        </w:rPr>
        <w:t>č</w:t>
      </w:r>
      <w:r w:rsidRPr="00E71603">
        <w:rPr>
          <w:iCs/>
          <w:sz w:val="22"/>
          <w:szCs w:val="22"/>
          <w:lang w:eastAsia="sk-SK"/>
        </w:rPr>
        <w:t>n</w:t>
      </w:r>
      <w:r w:rsidRPr="00E71603">
        <w:rPr>
          <w:rFonts w:hint="cs"/>
          <w:iCs/>
          <w:sz w:val="22"/>
          <w:szCs w:val="22"/>
          <w:lang w:eastAsia="sk-SK"/>
        </w:rPr>
        <w:t>é</w:t>
      </w:r>
      <w:r w:rsidRPr="00E71603">
        <w:rPr>
          <w:iCs/>
          <w:sz w:val="22"/>
          <w:szCs w:val="22"/>
          <w:lang w:eastAsia="sk-SK"/>
        </w:rPr>
        <w:t>ho syst</w:t>
      </w:r>
      <w:r w:rsidRPr="00E71603">
        <w:rPr>
          <w:rFonts w:hint="cs"/>
          <w:iCs/>
          <w:sz w:val="22"/>
          <w:szCs w:val="22"/>
          <w:lang w:eastAsia="sk-SK"/>
        </w:rPr>
        <w:t>é</w:t>
      </w:r>
      <w:r w:rsidRPr="00E71603">
        <w:rPr>
          <w:iCs/>
          <w:sz w:val="22"/>
          <w:szCs w:val="22"/>
          <w:lang w:eastAsia="sk-SK"/>
        </w:rPr>
        <w:t>mu.</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Aj v s</w:t>
      </w:r>
      <w:r w:rsidRPr="00E71603">
        <w:rPr>
          <w:rFonts w:hint="cs"/>
          <w:iCs/>
          <w:sz w:val="22"/>
          <w:szCs w:val="22"/>
          <w:lang w:eastAsia="sk-SK"/>
        </w:rPr>
        <w:t>ú</w:t>
      </w:r>
      <w:r w:rsidRPr="00E71603">
        <w:rPr>
          <w:iCs/>
          <w:sz w:val="22"/>
          <w:szCs w:val="22"/>
          <w:lang w:eastAsia="sk-SK"/>
        </w:rPr>
        <w:t>vislosti s nadobudnut</w:t>
      </w:r>
      <w:r w:rsidRPr="00E71603">
        <w:rPr>
          <w:rFonts w:hint="cs"/>
          <w:iCs/>
          <w:sz w:val="22"/>
          <w:szCs w:val="22"/>
          <w:lang w:eastAsia="sk-SK"/>
        </w:rPr>
        <w:t>í</w:t>
      </w:r>
      <w:r w:rsidRPr="00E71603">
        <w:rPr>
          <w:iCs/>
          <w:sz w:val="22"/>
          <w:szCs w:val="22"/>
          <w:lang w:eastAsia="sk-SK"/>
        </w:rPr>
        <w:t xml:space="preserve">m platnosti a </w:t>
      </w:r>
      <w:r w:rsidRPr="00E71603">
        <w:rPr>
          <w:rFonts w:hint="cs"/>
          <w:iCs/>
          <w:sz w:val="22"/>
          <w:szCs w:val="22"/>
          <w:lang w:eastAsia="sk-SK"/>
        </w:rPr>
        <w:t>úč</w:t>
      </w:r>
      <w:r w:rsidRPr="00E71603">
        <w:rPr>
          <w:iCs/>
          <w:sz w:val="22"/>
          <w:szCs w:val="22"/>
          <w:lang w:eastAsia="sk-SK"/>
        </w:rPr>
        <w:t>innosti nariadenia Komisie (E</w:t>
      </w:r>
      <w:r w:rsidRPr="00E71603">
        <w:rPr>
          <w:rFonts w:hint="cs"/>
          <w:iCs/>
          <w:sz w:val="22"/>
          <w:szCs w:val="22"/>
          <w:lang w:eastAsia="sk-SK"/>
        </w:rPr>
        <w:t>Ú</w:t>
      </w:r>
      <w:r w:rsidRPr="00E71603">
        <w:rPr>
          <w:iCs/>
          <w:sz w:val="22"/>
          <w:szCs w:val="22"/>
          <w:lang w:eastAsia="sk-SK"/>
        </w:rPr>
        <w:t>) 2015/1222 z 24. j</w:t>
      </w:r>
      <w:r w:rsidRPr="00E71603">
        <w:rPr>
          <w:rFonts w:hint="cs"/>
          <w:iCs/>
          <w:sz w:val="22"/>
          <w:szCs w:val="22"/>
          <w:lang w:eastAsia="sk-SK"/>
        </w:rPr>
        <w:t>ú</w:t>
      </w:r>
      <w:r w:rsidRPr="00E71603">
        <w:rPr>
          <w:iCs/>
          <w:sz w:val="22"/>
          <w:szCs w:val="22"/>
          <w:lang w:eastAsia="sk-SK"/>
        </w:rPr>
        <w:t>la 2015, ktor</w:t>
      </w:r>
      <w:r w:rsidRPr="00E71603">
        <w:rPr>
          <w:rFonts w:hint="cs"/>
          <w:iCs/>
          <w:sz w:val="22"/>
          <w:szCs w:val="22"/>
          <w:lang w:eastAsia="sk-SK"/>
        </w:rPr>
        <w:t>ý</w:t>
      </w:r>
      <w:r w:rsidRPr="00E71603">
        <w:rPr>
          <w:iCs/>
          <w:sz w:val="22"/>
          <w:szCs w:val="22"/>
          <w:lang w:eastAsia="sk-SK"/>
        </w:rPr>
        <w:t>m sa stanovuje usmernenie pre pride</w:t>
      </w:r>
      <w:r w:rsidRPr="00E71603">
        <w:rPr>
          <w:rFonts w:hint="cs"/>
          <w:iCs/>
          <w:sz w:val="22"/>
          <w:szCs w:val="22"/>
          <w:lang w:eastAsia="sk-SK"/>
        </w:rPr>
        <w:t>ľ</w:t>
      </w:r>
      <w:r w:rsidRPr="00E71603">
        <w:rPr>
          <w:iCs/>
          <w:sz w:val="22"/>
          <w:szCs w:val="22"/>
          <w:lang w:eastAsia="sk-SK"/>
        </w:rPr>
        <w:t>ovanie kapacity a riadenie pre</w:t>
      </w:r>
      <w:r w:rsidRPr="00E71603">
        <w:rPr>
          <w:rFonts w:hint="cs"/>
          <w:iCs/>
          <w:sz w:val="22"/>
          <w:szCs w:val="22"/>
          <w:lang w:eastAsia="sk-SK"/>
        </w:rPr>
        <w:t>ť</w:t>
      </w:r>
      <w:r w:rsidRPr="00E71603">
        <w:rPr>
          <w:iCs/>
          <w:sz w:val="22"/>
          <w:szCs w:val="22"/>
          <w:lang w:eastAsia="sk-SK"/>
        </w:rPr>
        <w:t>a</w:t>
      </w:r>
      <w:r w:rsidRPr="00E71603">
        <w:rPr>
          <w:rFonts w:hint="cs"/>
          <w:iCs/>
          <w:sz w:val="22"/>
          <w:szCs w:val="22"/>
          <w:lang w:eastAsia="sk-SK"/>
        </w:rPr>
        <w:t>ž</w:t>
      </w:r>
      <w:r w:rsidRPr="00E71603">
        <w:rPr>
          <w:iCs/>
          <w:sz w:val="22"/>
          <w:szCs w:val="22"/>
          <w:lang w:eastAsia="sk-SK"/>
        </w:rPr>
        <w:t>enia (nariadenie CACM) rok 2016 priniesol z poh</w:t>
      </w:r>
      <w:r w:rsidRPr="00E71603">
        <w:rPr>
          <w:rFonts w:hint="cs"/>
          <w:iCs/>
          <w:sz w:val="22"/>
          <w:szCs w:val="22"/>
          <w:lang w:eastAsia="sk-SK"/>
        </w:rPr>
        <w:t>ľ</w:t>
      </w:r>
      <w:r w:rsidRPr="00E71603">
        <w:rPr>
          <w:iCs/>
          <w:sz w:val="22"/>
          <w:szCs w:val="22"/>
          <w:lang w:eastAsia="sk-SK"/>
        </w:rPr>
        <w:t xml:space="preserve">adu </w:t>
      </w:r>
      <w:r w:rsidRPr="00E71603">
        <w:rPr>
          <w:rFonts w:hint="cs"/>
          <w:iCs/>
          <w:sz w:val="22"/>
          <w:szCs w:val="22"/>
          <w:lang w:eastAsia="sk-SK"/>
        </w:rPr>
        <w:t>ď</w:t>
      </w:r>
      <w:r w:rsidRPr="00E71603">
        <w:rPr>
          <w:iCs/>
          <w:sz w:val="22"/>
          <w:szCs w:val="22"/>
          <w:lang w:eastAsia="sk-SK"/>
        </w:rPr>
        <w:t>al</w:t>
      </w:r>
      <w:r w:rsidRPr="00E71603">
        <w:rPr>
          <w:rFonts w:hint="cs"/>
          <w:iCs/>
          <w:sz w:val="22"/>
          <w:szCs w:val="22"/>
          <w:lang w:eastAsia="sk-SK"/>
        </w:rPr>
        <w:t>š</w:t>
      </w:r>
      <w:r w:rsidRPr="00E71603">
        <w:rPr>
          <w:iCs/>
          <w:sz w:val="22"/>
          <w:szCs w:val="22"/>
          <w:lang w:eastAsia="sk-SK"/>
        </w:rPr>
        <w:t>ieho rozvoja a roz</w:t>
      </w:r>
      <w:r w:rsidRPr="00E71603">
        <w:rPr>
          <w:rFonts w:hint="cs"/>
          <w:iCs/>
          <w:sz w:val="22"/>
          <w:szCs w:val="22"/>
          <w:lang w:eastAsia="sk-SK"/>
        </w:rPr>
        <w:t>š</w:t>
      </w:r>
      <w:r w:rsidRPr="00E71603">
        <w:rPr>
          <w:iCs/>
          <w:sz w:val="22"/>
          <w:szCs w:val="22"/>
          <w:lang w:eastAsia="sk-SK"/>
        </w:rPr>
        <w:t xml:space="preserve">irovania obchodovania na dennom a </w:t>
      </w:r>
      <w:proofErr w:type="spellStart"/>
      <w:r w:rsidRPr="00E71603">
        <w:rPr>
          <w:iCs/>
          <w:sz w:val="22"/>
          <w:szCs w:val="22"/>
          <w:lang w:eastAsia="sk-SK"/>
        </w:rPr>
        <w:t>vn</w:t>
      </w:r>
      <w:r w:rsidRPr="00E71603">
        <w:rPr>
          <w:rFonts w:hint="cs"/>
          <w:iCs/>
          <w:sz w:val="22"/>
          <w:szCs w:val="22"/>
          <w:lang w:eastAsia="sk-SK"/>
        </w:rPr>
        <w:t>ú</w:t>
      </w:r>
      <w:r w:rsidRPr="00E71603">
        <w:rPr>
          <w:iCs/>
          <w:sz w:val="22"/>
          <w:szCs w:val="22"/>
          <w:lang w:eastAsia="sk-SK"/>
        </w:rPr>
        <w:t>trodennom</w:t>
      </w:r>
      <w:proofErr w:type="spellEnd"/>
      <w:r w:rsidRPr="00E71603">
        <w:rPr>
          <w:iCs/>
          <w:sz w:val="22"/>
          <w:szCs w:val="22"/>
          <w:lang w:eastAsia="sk-SK"/>
        </w:rPr>
        <w:t xml:space="preserve"> trhu zah</w:t>
      </w:r>
      <w:r w:rsidRPr="00E71603">
        <w:rPr>
          <w:rFonts w:hint="cs"/>
          <w:iCs/>
          <w:sz w:val="22"/>
          <w:szCs w:val="22"/>
          <w:lang w:eastAsia="sk-SK"/>
        </w:rPr>
        <w:t>á</w:t>
      </w:r>
      <w:r w:rsidRPr="00E71603">
        <w:rPr>
          <w:iCs/>
          <w:sz w:val="22"/>
          <w:szCs w:val="22"/>
          <w:lang w:eastAsia="sk-SK"/>
        </w:rPr>
        <w:t>jenie nieko</w:t>
      </w:r>
      <w:r w:rsidRPr="00E71603">
        <w:rPr>
          <w:rFonts w:hint="cs"/>
          <w:iCs/>
          <w:sz w:val="22"/>
          <w:szCs w:val="22"/>
          <w:lang w:eastAsia="sk-SK"/>
        </w:rPr>
        <w:t>ľ</w:t>
      </w:r>
      <w:r w:rsidRPr="00E71603">
        <w:rPr>
          <w:iCs/>
          <w:sz w:val="22"/>
          <w:szCs w:val="22"/>
          <w:lang w:eastAsia="sk-SK"/>
        </w:rPr>
        <w:t>k</w:t>
      </w:r>
      <w:r w:rsidRPr="00E71603">
        <w:rPr>
          <w:rFonts w:hint="cs"/>
          <w:iCs/>
          <w:sz w:val="22"/>
          <w:szCs w:val="22"/>
          <w:lang w:eastAsia="sk-SK"/>
        </w:rPr>
        <w:t>ý</w:t>
      </w:r>
      <w:r w:rsidRPr="00E71603">
        <w:rPr>
          <w:iCs/>
          <w:sz w:val="22"/>
          <w:szCs w:val="22"/>
          <w:lang w:eastAsia="sk-SK"/>
        </w:rPr>
        <w:t>ch paraleln</w:t>
      </w:r>
      <w:r w:rsidRPr="00E71603">
        <w:rPr>
          <w:rFonts w:hint="cs"/>
          <w:iCs/>
          <w:sz w:val="22"/>
          <w:szCs w:val="22"/>
          <w:lang w:eastAsia="sk-SK"/>
        </w:rPr>
        <w:t>ý</w:t>
      </w:r>
      <w:r w:rsidRPr="00E71603">
        <w:rPr>
          <w:iCs/>
          <w:sz w:val="22"/>
          <w:szCs w:val="22"/>
          <w:lang w:eastAsia="sk-SK"/>
        </w:rPr>
        <w:t>ch projektov region</w:t>
      </w:r>
      <w:r w:rsidRPr="00E71603">
        <w:rPr>
          <w:rFonts w:hint="cs"/>
          <w:iCs/>
          <w:sz w:val="22"/>
          <w:szCs w:val="22"/>
          <w:lang w:eastAsia="sk-SK"/>
        </w:rPr>
        <w:t>á</w:t>
      </w:r>
      <w:r w:rsidRPr="00E71603">
        <w:rPr>
          <w:iCs/>
          <w:sz w:val="22"/>
          <w:szCs w:val="22"/>
          <w:lang w:eastAsia="sk-SK"/>
        </w:rPr>
        <w:t>lneho ako aj celoeur</w:t>
      </w:r>
      <w:r w:rsidRPr="00E71603">
        <w:rPr>
          <w:rFonts w:hint="cs"/>
          <w:iCs/>
          <w:sz w:val="22"/>
          <w:szCs w:val="22"/>
          <w:lang w:eastAsia="sk-SK"/>
        </w:rPr>
        <w:t>ó</w:t>
      </w:r>
      <w:r w:rsidRPr="00E71603">
        <w:rPr>
          <w:iCs/>
          <w:sz w:val="22"/>
          <w:szCs w:val="22"/>
          <w:lang w:eastAsia="sk-SK"/>
        </w:rPr>
        <w:t>pskeho v</w:t>
      </w:r>
      <w:r w:rsidRPr="00E71603">
        <w:rPr>
          <w:rFonts w:hint="cs"/>
          <w:iCs/>
          <w:sz w:val="22"/>
          <w:szCs w:val="22"/>
          <w:lang w:eastAsia="sk-SK"/>
        </w:rPr>
        <w:t>ý</w:t>
      </w:r>
      <w:r w:rsidRPr="00E71603">
        <w:rPr>
          <w:iCs/>
          <w:sz w:val="22"/>
          <w:szCs w:val="22"/>
          <w:lang w:eastAsia="sk-SK"/>
        </w:rPr>
        <w:t>znamu, prostredn</w:t>
      </w:r>
      <w:r w:rsidRPr="00E71603">
        <w:rPr>
          <w:rFonts w:hint="cs"/>
          <w:iCs/>
          <w:sz w:val="22"/>
          <w:szCs w:val="22"/>
          <w:lang w:eastAsia="sk-SK"/>
        </w:rPr>
        <w:t>í</w:t>
      </w:r>
      <w:r w:rsidRPr="00E71603">
        <w:rPr>
          <w:iCs/>
          <w:sz w:val="22"/>
          <w:szCs w:val="22"/>
          <w:lang w:eastAsia="sk-SK"/>
        </w:rPr>
        <w:t>ctvom ktor</w:t>
      </w:r>
      <w:r w:rsidRPr="00E71603">
        <w:rPr>
          <w:rFonts w:hint="cs"/>
          <w:iCs/>
          <w:sz w:val="22"/>
          <w:szCs w:val="22"/>
          <w:lang w:eastAsia="sk-SK"/>
        </w:rPr>
        <w:t>ý</w:t>
      </w:r>
      <w:r w:rsidRPr="00E71603">
        <w:rPr>
          <w:iCs/>
          <w:sz w:val="22"/>
          <w:szCs w:val="22"/>
          <w:lang w:eastAsia="sk-SK"/>
        </w:rPr>
        <w:t>ch sa v strednodobom horizonte zabezpe</w:t>
      </w:r>
      <w:r w:rsidRPr="00E71603">
        <w:rPr>
          <w:rFonts w:hint="cs"/>
          <w:iCs/>
          <w:sz w:val="22"/>
          <w:szCs w:val="22"/>
          <w:lang w:eastAsia="sk-SK"/>
        </w:rPr>
        <w:t>čí</w:t>
      </w:r>
      <w:r w:rsidRPr="00E71603">
        <w:rPr>
          <w:iCs/>
          <w:sz w:val="22"/>
          <w:szCs w:val="22"/>
          <w:lang w:eastAsia="sk-SK"/>
        </w:rPr>
        <w:t xml:space="preserve"> </w:t>
      </w:r>
      <w:r w:rsidRPr="00E71603">
        <w:rPr>
          <w:rFonts w:hint="cs"/>
          <w:iCs/>
          <w:sz w:val="22"/>
          <w:szCs w:val="22"/>
          <w:lang w:eastAsia="sk-SK"/>
        </w:rPr>
        <w:t>úč</w:t>
      </w:r>
      <w:r w:rsidRPr="00E71603">
        <w:rPr>
          <w:iCs/>
          <w:sz w:val="22"/>
          <w:szCs w:val="22"/>
          <w:lang w:eastAsia="sk-SK"/>
        </w:rPr>
        <w:t>astn</w:t>
      </w:r>
      <w:r w:rsidRPr="00E71603">
        <w:rPr>
          <w:rFonts w:hint="cs"/>
          <w:iCs/>
          <w:sz w:val="22"/>
          <w:szCs w:val="22"/>
          <w:lang w:eastAsia="sk-SK"/>
        </w:rPr>
        <w:t>í</w:t>
      </w:r>
      <w:r w:rsidRPr="00E71603">
        <w:rPr>
          <w:iCs/>
          <w:sz w:val="22"/>
          <w:szCs w:val="22"/>
          <w:lang w:eastAsia="sk-SK"/>
        </w:rPr>
        <w:t>kom trhu mo</w:t>
      </w:r>
      <w:r w:rsidRPr="00E71603">
        <w:rPr>
          <w:rFonts w:hint="cs"/>
          <w:iCs/>
          <w:sz w:val="22"/>
          <w:szCs w:val="22"/>
          <w:lang w:eastAsia="sk-SK"/>
        </w:rPr>
        <w:t>ž</w:t>
      </w:r>
      <w:r w:rsidRPr="00E71603">
        <w:rPr>
          <w:iCs/>
          <w:sz w:val="22"/>
          <w:szCs w:val="22"/>
          <w:lang w:eastAsia="sk-SK"/>
        </w:rPr>
        <w:t>nos</w:t>
      </w:r>
      <w:r w:rsidRPr="00E71603">
        <w:rPr>
          <w:rFonts w:hint="cs"/>
          <w:iCs/>
          <w:sz w:val="22"/>
          <w:szCs w:val="22"/>
          <w:lang w:eastAsia="sk-SK"/>
        </w:rPr>
        <w:t>ť</w:t>
      </w:r>
      <w:r w:rsidRPr="00E71603">
        <w:rPr>
          <w:iCs/>
          <w:sz w:val="22"/>
          <w:szCs w:val="22"/>
          <w:lang w:eastAsia="sk-SK"/>
        </w:rPr>
        <w:t xml:space="preserve"> obchodova</w:t>
      </w:r>
      <w:r w:rsidRPr="00E71603">
        <w:rPr>
          <w:rFonts w:hint="cs"/>
          <w:iCs/>
          <w:sz w:val="22"/>
          <w:szCs w:val="22"/>
          <w:lang w:eastAsia="sk-SK"/>
        </w:rPr>
        <w:t>ť</w:t>
      </w:r>
      <w:r w:rsidRPr="00E71603">
        <w:rPr>
          <w:iCs/>
          <w:sz w:val="22"/>
          <w:szCs w:val="22"/>
          <w:lang w:eastAsia="sk-SK"/>
        </w:rPr>
        <w:t xml:space="preserve"> v e</w:t>
      </w:r>
      <w:r w:rsidRPr="00E71603">
        <w:rPr>
          <w:rFonts w:hint="cs"/>
          <w:iCs/>
          <w:sz w:val="22"/>
          <w:szCs w:val="22"/>
          <w:lang w:eastAsia="sk-SK"/>
        </w:rPr>
        <w:t>š</w:t>
      </w:r>
      <w:r w:rsidRPr="00E71603">
        <w:rPr>
          <w:iCs/>
          <w:sz w:val="22"/>
          <w:szCs w:val="22"/>
          <w:lang w:eastAsia="sk-SK"/>
        </w:rPr>
        <w:t>te likvidnej</w:t>
      </w:r>
      <w:r w:rsidRPr="00E71603">
        <w:rPr>
          <w:rFonts w:hint="cs"/>
          <w:iCs/>
          <w:sz w:val="22"/>
          <w:szCs w:val="22"/>
          <w:lang w:eastAsia="sk-SK"/>
        </w:rPr>
        <w:t>š</w:t>
      </w:r>
      <w:r w:rsidRPr="00E71603">
        <w:rPr>
          <w:iCs/>
          <w:sz w:val="22"/>
          <w:szCs w:val="22"/>
          <w:lang w:eastAsia="sk-SK"/>
        </w:rPr>
        <w:t>om trhovom prostred</w:t>
      </w:r>
      <w:r w:rsidRPr="00E71603">
        <w:rPr>
          <w:rFonts w:hint="cs"/>
          <w:iCs/>
          <w:sz w:val="22"/>
          <w:szCs w:val="22"/>
          <w:lang w:eastAsia="sk-SK"/>
        </w:rPr>
        <w:t>í</w:t>
      </w:r>
      <w:r w:rsidRPr="00E71603">
        <w:rPr>
          <w:iCs/>
          <w:sz w:val="22"/>
          <w:szCs w:val="22"/>
          <w:lang w:eastAsia="sk-SK"/>
        </w:rPr>
        <w:t>. Tieto sa z poh</w:t>
      </w:r>
      <w:r w:rsidRPr="00E71603">
        <w:rPr>
          <w:rFonts w:hint="cs"/>
          <w:iCs/>
          <w:sz w:val="22"/>
          <w:szCs w:val="22"/>
          <w:lang w:eastAsia="sk-SK"/>
        </w:rPr>
        <w:t>ľ</w:t>
      </w:r>
      <w:r w:rsidRPr="00E71603">
        <w:rPr>
          <w:iCs/>
          <w:sz w:val="22"/>
          <w:szCs w:val="22"/>
          <w:lang w:eastAsia="sk-SK"/>
        </w:rPr>
        <w:t>adu SEPS ako prev</w:t>
      </w:r>
      <w:r w:rsidRPr="00E71603">
        <w:rPr>
          <w:rFonts w:hint="cs"/>
          <w:iCs/>
          <w:sz w:val="22"/>
          <w:szCs w:val="22"/>
          <w:lang w:eastAsia="sk-SK"/>
        </w:rPr>
        <w:t>á</w:t>
      </w:r>
      <w:r w:rsidRPr="00E71603">
        <w:rPr>
          <w:iCs/>
          <w:sz w:val="22"/>
          <w:szCs w:val="22"/>
          <w:lang w:eastAsia="sk-SK"/>
        </w:rPr>
        <w:t>dzkovate</w:t>
      </w:r>
      <w:r w:rsidRPr="00E71603">
        <w:rPr>
          <w:rFonts w:hint="cs"/>
          <w:iCs/>
          <w:sz w:val="22"/>
          <w:szCs w:val="22"/>
          <w:lang w:eastAsia="sk-SK"/>
        </w:rPr>
        <w:t>ľ</w:t>
      </w:r>
      <w:r w:rsidRPr="00E71603">
        <w:rPr>
          <w:iCs/>
          <w:sz w:val="22"/>
          <w:szCs w:val="22"/>
          <w:lang w:eastAsia="sk-SK"/>
        </w:rPr>
        <w:t>a prenosovej s</w:t>
      </w:r>
      <w:r w:rsidRPr="00E71603">
        <w:rPr>
          <w:rFonts w:hint="cs"/>
          <w:iCs/>
          <w:sz w:val="22"/>
          <w:szCs w:val="22"/>
          <w:lang w:eastAsia="sk-SK"/>
        </w:rPr>
        <w:t>ú</w:t>
      </w:r>
      <w:r w:rsidRPr="00E71603">
        <w:rPr>
          <w:iCs/>
          <w:sz w:val="22"/>
          <w:szCs w:val="22"/>
          <w:lang w:eastAsia="sk-SK"/>
        </w:rPr>
        <w:t>stavy zameriavaj</w:t>
      </w:r>
      <w:r w:rsidRPr="00E71603">
        <w:rPr>
          <w:rFonts w:hint="cs"/>
          <w:iCs/>
          <w:sz w:val="22"/>
          <w:szCs w:val="22"/>
          <w:lang w:eastAsia="sk-SK"/>
        </w:rPr>
        <w:t>ú</w:t>
      </w:r>
      <w:r w:rsidRPr="00E71603">
        <w:rPr>
          <w:iCs/>
          <w:sz w:val="22"/>
          <w:szCs w:val="22"/>
          <w:lang w:eastAsia="sk-SK"/>
        </w:rPr>
        <w:t xml:space="preserve"> najm</w:t>
      </w:r>
      <w:r w:rsidRPr="00E71603">
        <w:rPr>
          <w:rFonts w:hint="cs"/>
          <w:iCs/>
          <w:sz w:val="22"/>
          <w:szCs w:val="22"/>
          <w:lang w:eastAsia="sk-SK"/>
        </w:rPr>
        <w:t>ä</w:t>
      </w:r>
      <w:r w:rsidRPr="00E71603">
        <w:rPr>
          <w:iCs/>
          <w:sz w:val="22"/>
          <w:szCs w:val="22"/>
          <w:lang w:eastAsia="sk-SK"/>
        </w:rPr>
        <w:t xml:space="preserve"> na v</w:t>
      </w:r>
      <w:r w:rsidRPr="00E71603">
        <w:rPr>
          <w:rFonts w:hint="cs"/>
          <w:iCs/>
          <w:sz w:val="22"/>
          <w:szCs w:val="22"/>
          <w:lang w:eastAsia="sk-SK"/>
        </w:rPr>
        <w:t>ý</w:t>
      </w:r>
      <w:r w:rsidRPr="00E71603">
        <w:rPr>
          <w:iCs/>
          <w:sz w:val="22"/>
          <w:szCs w:val="22"/>
          <w:lang w:eastAsia="sk-SK"/>
        </w:rPr>
        <w:t>po</w:t>
      </w:r>
      <w:r w:rsidRPr="00E71603">
        <w:rPr>
          <w:rFonts w:hint="cs"/>
          <w:iCs/>
          <w:sz w:val="22"/>
          <w:szCs w:val="22"/>
          <w:lang w:eastAsia="sk-SK"/>
        </w:rPr>
        <w:t>č</w:t>
      </w:r>
      <w:r w:rsidRPr="00E71603">
        <w:rPr>
          <w:iCs/>
          <w:sz w:val="22"/>
          <w:szCs w:val="22"/>
          <w:lang w:eastAsia="sk-SK"/>
        </w:rPr>
        <w:t>et a optimaliz</w:t>
      </w:r>
      <w:r w:rsidRPr="00E71603">
        <w:rPr>
          <w:rFonts w:hint="cs"/>
          <w:iCs/>
          <w:sz w:val="22"/>
          <w:szCs w:val="22"/>
          <w:lang w:eastAsia="sk-SK"/>
        </w:rPr>
        <w:t>á</w:t>
      </w:r>
      <w:r w:rsidRPr="00E71603">
        <w:rPr>
          <w:iCs/>
          <w:sz w:val="22"/>
          <w:szCs w:val="22"/>
          <w:lang w:eastAsia="sk-SK"/>
        </w:rPr>
        <w:t>ciu dostupn</w:t>
      </w:r>
      <w:r w:rsidRPr="00E71603">
        <w:rPr>
          <w:rFonts w:hint="cs"/>
          <w:iCs/>
          <w:sz w:val="22"/>
          <w:szCs w:val="22"/>
          <w:lang w:eastAsia="sk-SK"/>
        </w:rPr>
        <w:t>ý</w:t>
      </w:r>
      <w:r w:rsidRPr="00E71603">
        <w:rPr>
          <w:iCs/>
          <w:sz w:val="22"/>
          <w:szCs w:val="22"/>
          <w:lang w:eastAsia="sk-SK"/>
        </w:rPr>
        <w:t>ch prenosov</w:t>
      </w:r>
      <w:r w:rsidRPr="00E71603">
        <w:rPr>
          <w:rFonts w:hint="cs"/>
          <w:iCs/>
          <w:sz w:val="22"/>
          <w:szCs w:val="22"/>
          <w:lang w:eastAsia="sk-SK"/>
        </w:rPr>
        <w:t>ý</w:t>
      </w:r>
      <w:r w:rsidRPr="00E71603">
        <w:rPr>
          <w:iCs/>
          <w:sz w:val="22"/>
          <w:szCs w:val="22"/>
          <w:lang w:eastAsia="sk-SK"/>
        </w:rPr>
        <w:t>ch kapac</w:t>
      </w:r>
      <w:r w:rsidRPr="00E71603">
        <w:rPr>
          <w:rFonts w:hint="cs"/>
          <w:iCs/>
          <w:sz w:val="22"/>
          <w:szCs w:val="22"/>
          <w:lang w:eastAsia="sk-SK"/>
        </w:rPr>
        <w:t>í</w:t>
      </w:r>
      <w:r w:rsidRPr="00E71603">
        <w:rPr>
          <w:iCs/>
          <w:sz w:val="22"/>
          <w:szCs w:val="22"/>
          <w:lang w:eastAsia="sk-SK"/>
        </w:rPr>
        <w:t>t pre potreby cezhrani</w:t>
      </w:r>
      <w:r w:rsidRPr="00E71603">
        <w:rPr>
          <w:rFonts w:hint="cs"/>
          <w:iCs/>
          <w:sz w:val="22"/>
          <w:szCs w:val="22"/>
          <w:lang w:eastAsia="sk-SK"/>
        </w:rPr>
        <w:t>č</w:t>
      </w:r>
      <w:r w:rsidRPr="00E71603">
        <w:rPr>
          <w:iCs/>
          <w:sz w:val="22"/>
          <w:szCs w:val="22"/>
          <w:lang w:eastAsia="sk-SK"/>
        </w:rPr>
        <w:t>n</w:t>
      </w:r>
      <w:r w:rsidRPr="00E71603">
        <w:rPr>
          <w:rFonts w:hint="cs"/>
          <w:iCs/>
          <w:sz w:val="22"/>
          <w:szCs w:val="22"/>
          <w:lang w:eastAsia="sk-SK"/>
        </w:rPr>
        <w:t>é</w:t>
      </w:r>
      <w:r w:rsidRPr="00E71603">
        <w:rPr>
          <w:iCs/>
          <w:sz w:val="22"/>
          <w:szCs w:val="22"/>
          <w:lang w:eastAsia="sk-SK"/>
        </w:rPr>
        <w:t>ho obchodovania v rámci regiónu CORE (CORE CCR - región pre koordinovaný výpočet prenosových kapacít ustanovený podľa čl. 15 nariadenia CACM).</w:t>
      </w:r>
    </w:p>
    <w:p w:rsidR="00E71603" w:rsidRPr="00E71603" w:rsidRDefault="00E71603" w:rsidP="00E71603">
      <w:pPr>
        <w:spacing w:after="120" w:line="276" w:lineRule="auto"/>
        <w:jc w:val="both"/>
        <w:rPr>
          <w:iCs/>
          <w:sz w:val="22"/>
          <w:szCs w:val="22"/>
          <w:lang w:eastAsia="sk-SK"/>
        </w:rPr>
      </w:pPr>
      <w:r w:rsidRPr="00E71603">
        <w:rPr>
          <w:iCs/>
          <w:sz w:val="22"/>
          <w:szCs w:val="22"/>
          <w:lang w:eastAsia="sk-SK"/>
        </w:rPr>
        <w:t>Po</w:t>
      </w:r>
      <w:r w:rsidRPr="00E71603">
        <w:rPr>
          <w:rFonts w:hint="cs"/>
          <w:iCs/>
          <w:sz w:val="22"/>
          <w:szCs w:val="22"/>
          <w:lang w:eastAsia="sk-SK"/>
        </w:rPr>
        <w:t>č</w:t>
      </w:r>
      <w:r w:rsidRPr="00E71603">
        <w:rPr>
          <w:iCs/>
          <w:sz w:val="22"/>
          <w:szCs w:val="22"/>
          <w:lang w:eastAsia="sk-SK"/>
        </w:rPr>
        <w:t>as roka 2016 boli spracované analýzy realizovateľnosti pre projekt, ktor</w:t>
      </w:r>
      <w:r w:rsidRPr="00E71603">
        <w:rPr>
          <w:rFonts w:hint="cs"/>
          <w:iCs/>
          <w:sz w:val="22"/>
          <w:szCs w:val="22"/>
          <w:lang w:eastAsia="sk-SK"/>
        </w:rPr>
        <w:t>é</w:t>
      </w:r>
      <w:r w:rsidRPr="00E71603">
        <w:rPr>
          <w:iCs/>
          <w:sz w:val="22"/>
          <w:szCs w:val="22"/>
          <w:lang w:eastAsia="sk-SK"/>
        </w:rPr>
        <w:t>ho cie</w:t>
      </w:r>
      <w:r w:rsidRPr="00E71603">
        <w:rPr>
          <w:rFonts w:hint="cs"/>
          <w:iCs/>
          <w:sz w:val="22"/>
          <w:szCs w:val="22"/>
          <w:lang w:eastAsia="sk-SK"/>
        </w:rPr>
        <w:t>ľ</w:t>
      </w:r>
      <w:r w:rsidRPr="00E71603">
        <w:rPr>
          <w:iCs/>
          <w:sz w:val="22"/>
          <w:szCs w:val="22"/>
          <w:lang w:eastAsia="sk-SK"/>
        </w:rPr>
        <w:t>om by bolo v strednodobom horizonte prepoji</w:t>
      </w:r>
      <w:r w:rsidRPr="00E71603">
        <w:rPr>
          <w:rFonts w:hint="cs"/>
          <w:iCs/>
          <w:sz w:val="22"/>
          <w:szCs w:val="22"/>
          <w:lang w:eastAsia="sk-SK"/>
        </w:rPr>
        <w:t>ť</w:t>
      </w:r>
      <w:r w:rsidRPr="00E71603">
        <w:rPr>
          <w:iCs/>
          <w:sz w:val="22"/>
          <w:szCs w:val="22"/>
          <w:lang w:eastAsia="sk-SK"/>
        </w:rPr>
        <w:t xml:space="preserve"> s</w:t>
      </w:r>
      <w:r w:rsidRPr="00E71603">
        <w:rPr>
          <w:rFonts w:hint="cs"/>
          <w:iCs/>
          <w:sz w:val="22"/>
          <w:szCs w:val="22"/>
          <w:lang w:eastAsia="sk-SK"/>
        </w:rPr>
        <w:t>úč</w:t>
      </w:r>
      <w:r w:rsidRPr="00E71603">
        <w:rPr>
          <w:iCs/>
          <w:sz w:val="22"/>
          <w:szCs w:val="22"/>
          <w:lang w:eastAsia="sk-SK"/>
        </w:rPr>
        <w:t>asn</w:t>
      </w:r>
      <w:r w:rsidRPr="00E71603">
        <w:rPr>
          <w:rFonts w:hint="cs"/>
          <w:iCs/>
          <w:sz w:val="22"/>
          <w:szCs w:val="22"/>
          <w:lang w:eastAsia="sk-SK"/>
        </w:rPr>
        <w:t>ý</w:t>
      </w:r>
      <w:r w:rsidRPr="00E71603">
        <w:rPr>
          <w:iCs/>
          <w:sz w:val="22"/>
          <w:szCs w:val="22"/>
          <w:lang w:eastAsia="sk-SK"/>
        </w:rPr>
        <w:t xml:space="preserve"> 4M MC s tzv. </w:t>
      </w:r>
      <w:proofErr w:type="spellStart"/>
      <w:r w:rsidRPr="00E71603">
        <w:rPr>
          <w:iCs/>
          <w:sz w:val="22"/>
          <w:szCs w:val="22"/>
          <w:lang w:eastAsia="sk-SK"/>
        </w:rPr>
        <w:t>Multi</w:t>
      </w:r>
      <w:proofErr w:type="spellEnd"/>
      <w:r w:rsidRPr="00E71603">
        <w:rPr>
          <w:iCs/>
          <w:sz w:val="22"/>
          <w:szCs w:val="22"/>
          <w:lang w:eastAsia="sk-SK"/>
        </w:rPr>
        <w:t xml:space="preserve"> </w:t>
      </w:r>
      <w:proofErr w:type="spellStart"/>
      <w:r w:rsidRPr="00E71603">
        <w:rPr>
          <w:iCs/>
          <w:sz w:val="22"/>
          <w:szCs w:val="22"/>
          <w:lang w:eastAsia="sk-SK"/>
        </w:rPr>
        <w:t>Regional</w:t>
      </w:r>
      <w:proofErr w:type="spellEnd"/>
      <w:r w:rsidRPr="00E71603">
        <w:rPr>
          <w:iCs/>
          <w:sz w:val="22"/>
          <w:szCs w:val="22"/>
          <w:lang w:eastAsia="sk-SK"/>
        </w:rPr>
        <w:t xml:space="preserve"> </w:t>
      </w:r>
      <w:proofErr w:type="spellStart"/>
      <w:r w:rsidRPr="00E71603">
        <w:rPr>
          <w:iCs/>
          <w:sz w:val="22"/>
          <w:szCs w:val="22"/>
          <w:lang w:eastAsia="sk-SK"/>
        </w:rPr>
        <w:t>Coupling</w:t>
      </w:r>
      <w:proofErr w:type="spellEnd"/>
      <w:r w:rsidRPr="00E71603">
        <w:rPr>
          <w:iCs/>
          <w:sz w:val="22"/>
          <w:szCs w:val="22"/>
          <w:lang w:eastAsia="sk-SK"/>
        </w:rPr>
        <w:t xml:space="preserve"> (MRC) na b</w:t>
      </w:r>
      <w:r w:rsidRPr="00E71603">
        <w:rPr>
          <w:rFonts w:hint="cs"/>
          <w:iCs/>
          <w:sz w:val="22"/>
          <w:szCs w:val="22"/>
          <w:lang w:eastAsia="sk-SK"/>
        </w:rPr>
        <w:t>á</w:t>
      </w:r>
      <w:r w:rsidRPr="00E71603">
        <w:rPr>
          <w:iCs/>
          <w:sz w:val="22"/>
          <w:szCs w:val="22"/>
          <w:lang w:eastAsia="sk-SK"/>
        </w:rPr>
        <w:t xml:space="preserve">ze </w:t>
      </w:r>
      <w:r w:rsidRPr="00E71603">
        <w:rPr>
          <w:rFonts w:hint="cs"/>
          <w:iCs/>
          <w:sz w:val="22"/>
          <w:szCs w:val="22"/>
          <w:lang w:eastAsia="sk-SK"/>
        </w:rPr>
        <w:t>č</w:t>
      </w:r>
      <w:r w:rsidRPr="00E71603">
        <w:rPr>
          <w:iCs/>
          <w:sz w:val="22"/>
          <w:szCs w:val="22"/>
          <w:lang w:eastAsia="sk-SK"/>
        </w:rPr>
        <w:t>istej prenosovej kapacity. K</w:t>
      </w:r>
      <w:r w:rsidRPr="00E71603">
        <w:rPr>
          <w:rFonts w:hint="cs"/>
          <w:iCs/>
          <w:sz w:val="22"/>
          <w:szCs w:val="22"/>
          <w:lang w:eastAsia="sk-SK"/>
        </w:rPr>
        <w:t>ľúč</w:t>
      </w:r>
      <w:r w:rsidRPr="00E71603">
        <w:rPr>
          <w:iCs/>
          <w:sz w:val="22"/>
          <w:szCs w:val="22"/>
          <w:lang w:eastAsia="sk-SK"/>
        </w:rPr>
        <w:t>ov</w:t>
      </w:r>
      <w:r w:rsidRPr="00E71603">
        <w:rPr>
          <w:rFonts w:hint="cs"/>
          <w:iCs/>
          <w:sz w:val="22"/>
          <w:szCs w:val="22"/>
          <w:lang w:eastAsia="sk-SK"/>
        </w:rPr>
        <w:t>ý</w:t>
      </w:r>
      <w:r w:rsidRPr="00E71603">
        <w:rPr>
          <w:iCs/>
          <w:sz w:val="22"/>
          <w:szCs w:val="22"/>
          <w:lang w:eastAsia="sk-SK"/>
        </w:rPr>
        <w:t>m integra</w:t>
      </w:r>
      <w:r w:rsidRPr="00E71603">
        <w:rPr>
          <w:rFonts w:hint="cs"/>
          <w:iCs/>
          <w:sz w:val="22"/>
          <w:szCs w:val="22"/>
          <w:lang w:eastAsia="sk-SK"/>
        </w:rPr>
        <w:t>č</w:t>
      </w:r>
      <w:r w:rsidRPr="00E71603">
        <w:rPr>
          <w:iCs/>
          <w:sz w:val="22"/>
          <w:szCs w:val="22"/>
          <w:lang w:eastAsia="sk-SK"/>
        </w:rPr>
        <w:t>n</w:t>
      </w:r>
      <w:r w:rsidRPr="00E71603">
        <w:rPr>
          <w:rFonts w:hint="cs"/>
          <w:iCs/>
          <w:sz w:val="22"/>
          <w:szCs w:val="22"/>
          <w:lang w:eastAsia="sk-SK"/>
        </w:rPr>
        <w:t>ý</w:t>
      </w:r>
      <w:r w:rsidRPr="00E71603">
        <w:rPr>
          <w:iCs/>
          <w:sz w:val="22"/>
          <w:szCs w:val="22"/>
          <w:lang w:eastAsia="sk-SK"/>
        </w:rPr>
        <w:t>m projektom z pohľadu prevádzkovateľa prenosovej sústavy bol počas roka 2016 vývoj koordinovaného výpočtu prenosových kapacít na b</w:t>
      </w:r>
      <w:r w:rsidRPr="00E71603">
        <w:rPr>
          <w:rFonts w:hint="cs"/>
          <w:iCs/>
          <w:sz w:val="22"/>
          <w:szCs w:val="22"/>
          <w:lang w:eastAsia="sk-SK"/>
        </w:rPr>
        <w:t>á</w:t>
      </w:r>
      <w:r w:rsidRPr="00E71603">
        <w:rPr>
          <w:iCs/>
          <w:sz w:val="22"/>
          <w:szCs w:val="22"/>
          <w:lang w:eastAsia="sk-SK"/>
        </w:rPr>
        <w:t>ze met</w:t>
      </w:r>
      <w:r w:rsidRPr="00E71603">
        <w:rPr>
          <w:rFonts w:hint="cs"/>
          <w:iCs/>
          <w:sz w:val="22"/>
          <w:szCs w:val="22"/>
          <w:lang w:eastAsia="sk-SK"/>
        </w:rPr>
        <w:t>ó</w:t>
      </w:r>
      <w:r w:rsidRPr="00E71603">
        <w:rPr>
          <w:iCs/>
          <w:sz w:val="22"/>
          <w:szCs w:val="22"/>
          <w:lang w:eastAsia="sk-SK"/>
        </w:rPr>
        <w:t>dy toku v</w:t>
      </w:r>
      <w:r w:rsidRPr="00E71603">
        <w:rPr>
          <w:rFonts w:hint="cs"/>
          <w:iCs/>
          <w:sz w:val="22"/>
          <w:szCs w:val="22"/>
          <w:lang w:eastAsia="sk-SK"/>
        </w:rPr>
        <w:t>ý</w:t>
      </w:r>
      <w:r w:rsidRPr="00E71603">
        <w:rPr>
          <w:iCs/>
          <w:sz w:val="22"/>
          <w:szCs w:val="22"/>
          <w:lang w:eastAsia="sk-SK"/>
        </w:rPr>
        <w:t xml:space="preserve">konu (tzv. </w:t>
      </w:r>
      <w:proofErr w:type="spellStart"/>
      <w:r w:rsidRPr="00E71603">
        <w:rPr>
          <w:iCs/>
          <w:sz w:val="22"/>
          <w:szCs w:val="22"/>
          <w:lang w:eastAsia="sk-SK"/>
        </w:rPr>
        <w:t>Flow</w:t>
      </w:r>
      <w:proofErr w:type="spellEnd"/>
      <w:r w:rsidRPr="00E71603">
        <w:rPr>
          <w:iCs/>
          <w:sz w:val="22"/>
          <w:szCs w:val="22"/>
          <w:lang w:eastAsia="sk-SK"/>
        </w:rPr>
        <w:t xml:space="preserve"> </w:t>
      </w:r>
      <w:proofErr w:type="spellStart"/>
      <w:r w:rsidRPr="00E71603">
        <w:rPr>
          <w:iCs/>
          <w:sz w:val="22"/>
          <w:szCs w:val="22"/>
          <w:lang w:eastAsia="sk-SK"/>
        </w:rPr>
        <w:t>Based</w:t>
      </w:r>
      <w:proofErr w:type="spellEnd"/>
      <w:r w:rsidRPr="00E71603">
        <w:rPr>
          <w:iCs/>
          <w:sz w:val="22"/>
          <w:szCs w:val="22"/>
          <w:lang w:eastAsia="sk-SK"/>
        </w:rPr>
        <w:t xml:space="preserve">) pre región CORE a adaptácia k projektu pre </w:t>
      </w:r>
      <w:proofErr w:type="spellStart"/>
      <w:r w:rsidRPr="00E71603">
        <w:rPr>
          <w:iCs/>
          <w:sz w:val="22"/>
          <w:szCs w:val="22"/>
          <w:lang w:eastAsia="sk-SK"/>
        </w:rPr>
        <w:t>Market</w:t>
      </w:r>
      <w:proofErr w:type="spellEnd"/>
      <w:r w:rsidRPr="00E71603">
        <w:rPr>
          <w:iCs/>
          <w:sz w:val="22"/>
          <w:szCs w:val="22"/>
          <w:lang w:eastAsia="sk-SK"/>
        </w:rPr>
        <w:t xml:space="preserve"> </w:t>
      </w:r>
      <w:proofErr w:type="spellStart"/>
      <w:r w:rsidRPr="00E71603">
        <w:rPr>
          <w:iCs/>
          <w:sz w:val="22"/>
          <w:szCs w:val="22"/>
          <w:lang w:eastAsia="sk-SK"/>
        </w:rPr>
        <w:t>Coupling</w:t>
      </w:r>
      <w:proofErr w:type="spellEnd"/>
      <w:r w:rsidRPr="00E71603">
        <w:rPr>
          <w:iCs/>
          <w:sz w:val="22"/>
          <w:szCs w:val="22"/>
          <w:lang w:eastAsia="sk-SK"/>
        </w:rPr>
        <w:t xml:space="preserve"> v rámci týchto nových regionálnych podmienok. Cie</w:t>
      </w:r>
      <w:r w:rsidRPr="00E71603">
        <w:rPr>
          <w:rFonts w:hint="cs"/>
          <w:iCs/>
          <w:sz w:val="22"/>
          <w:szCs w:val="22"/>
          <w:lang w:eastAsia="sk-SK"/>
        </w:rPr>
        <w:t>ľ</w:t>
      </w:r>
      <w:r w:rsidRPr="00E71603">
        <w:rPr>
          <w:iCs/>
          <w:sz w:val="22"/>
          <w:szCs w:val="22"/>
          <w:lang w:eastAsia="sk-SK"/>
        </w:rPr>
        <w:t>om oboch projektov je v horizonte nieko</w:t>
      </w:r>
      <w:r w:rsidRPr="00E71603">
        <w:rPr>
          <w:rFonts w:hint="cs"/>
          <w:iCs/>
          <w:sz w:val="22"/>
          <w:szCs w:val="22"/>
          <w:lang w:eastAsia="sk-SK"/>
        </w:rPr>
        <w:t>ľ</w:t>
      </w:r>
      <w:r w:rsidRPr="00E71603">
        <w:rPr>
          <w:iCs/>
          <w:sz w:val="22"/>
          <w:szCs w:val="22"/>
          <w:lang w:eastAsia="sk-SK"/>
        </w:rPr>
        <w:t>k</w:t>
      </w:r>
      <w:r w:rsidRPr="00E71603">
        <w:rPr>
          <w:rFonts w:hint="cs"/>
          <w:iCs/>
          <w:sz w:val="22"/>
          <w:szCs w:val="22"/>
          <w:lang w:eastAsia="sk-SK"/>
        </w:rPr>
        <w:t>ý</w:t>
      </w:r>
      <w:r w:rsidRPr="00E71603">
        <w:rPr>
          <w:iCs/>
          <w:sz w:val="22"/>
          <w:szCs w:val="22"/>
          <w:lang w:eastAsia="sk-SK"/>
        </w:rPr>
        <w:t>ch rokov (2019/2020) obchodne prepoji</w:t>
      </w:r>
      <w:r w:rsidRPr="00E71603">
        <w:rPr>
          <w:rFonts w:hint="cs"/>
          <w:iCs/>
          <w:sz w:val="22"/>
          <w:szCs w:val="22"/>
          <w:lang w:eastAsia="sk-SK"/>
        </w:rPr>
        <w:t>ť</w:t>
      </w:r>
      <w:r w:rsidRPr="00E71603">
        <w:rPr>
          <w:iCs/>
          <w:sz w:val="22"/>
          <w:szCs w:val="22"/>
          <w:lang w:eastAsia="sk-SK"/>
        </w:rPr>
        <w:t xml:space="preserve"> v</w:t>
      </w:r>
      <w:r w:rsidRPr="00E71603">
        <w:rPr>
          <w:rFonts w:hint="cs"/>
          <w:iCs/>
          <w:sz w:val="22"/>
          <w:szCs w:val="22"/>
          <w:lang w:eastAsia="sk-SK"/>
        </w:rPr>
        <w:t>ý</w:t>
      </w:r>
      <w:r w:rsidRPr="00E71603">
        <w:rPr>
          <w:iCs/>
          <w:sz w:val="22"/>
          <w:szCs w:val="22"/>
          <w:lang w:eastAsia="sk-SK"/>
        </w:rPr>
        <w:t>znamn</w:t>
      </w:r>
      <w:r w:rsidRPr="00E71603">
        <w:rPr>
          <w:rFonts w:hint="cs"/>
          <w:iCs/>
          <w:sz w:val="22"/>
          <w:szCs w:val="22"/>
          <w:lang w:eastAsia="sk-SK"/>
        </w:rPr>
        <w:t>ú</w:t>
      </w:r>
      <w:r w:rsidRPr="00E71603">
        <w:rPr>
          <w:iCs/>
          <w:sz w:val="22"/>
          <w:szCs w:val="22"/>
          <w:lang w:eastAsia="sk-SK"/>
        </w:rPr>
        <w:t xml:space="preserve"> </w:t>
      </w:r>
      <w:r w:rsidRPr="00E71603">
        <w:rPr>
          <w:rFonts w:hint="cs"/>
          <w:iCs/>
          <w:sz w:val="22"/>
          <w:szCs w:val="22"/>
          <w:lang w:eastAsia="sk-SK"/>
        </w:rPr>
        <w:t>č</w:t>
      </w:r>
      <w:r w:rsidRPr="00E71603">
        <w:rPr>
          <w:iCs/>
          <w:sz w:val="22"/>
          <w:szCs w:val="22"/>
          <w:lang w:eastAsia="sk-SK"/>
        </w:rPr>
        <w:t>as</w:t>
      </w:r>
      <w:r w:rsidRPr="00E71603">
        <w:rPr>
          <w:rFonts w:hint="cs"/>
          <w:iCs/>
          <w:sz w:val="22"/>
          <w:szCs w:val="22"/>
          <w:lang w:eastAsia="sk-SK"/>
        </w:rPr>
        <w:t>ť</w:t>
      </w:r>
      <w:r w:rsidRPr="00E71603">
        <w:rPr>
          <w:iCs/>
          <w:sz w:val="22"/>
          <w:szCs w:val="22"/>
          <w:lang w:eastAsia="sk-SK"/>
        </w:rPr>
        <w:t xml:space="preserve"> kontinent</w:t>
      </w:r>
      <w:r w:rsidRPr="00E71603">
        <w:rPr>
          <w:rFonts w:hint="cs"/>
          <w:iCs/>
          <w:sz w:val="22"/>
          <w:szCs w:val="22"/>
          <w:lang w:eastAsia="sk-SK"/>
        </w:rPr>
        <w:t>á</w:t>
      </w:r>
      <w:r w:rsidRPr="00E71603">
        <w:rPr>
          <w:iCs/>
          <w:sz w:val="22"/>
          <w:szCs w:val="22"/>
          <w:lang w:eastAsia="sk-SK"/>
        </w:rPr>
        <w:t>lnej Eur</w:t>
      </w:r>
      <w:r w:rsidRPr="00E71603">
        <w:rPr>
          <w:rFonts w:hint="cs"/>
          <w:iCs/>
          <w:sz w:val="22"/>
          <w:szCs w:val="22"/>
          <w:lang w:eastAsia="sk-SK"/>
        </w:rPr>
        <w:t>ó</w:t>
      </w:r>
      <w:r w:rsidRPr="00E71603">
        <w:rPr>
          <w:iCs/>
          <w:sz w:val="22"/>
          <w:szCs w:val="22"/>
          <w:lang w:eastAsia="sk-SK"/>
        </w:rPr>
        <w:t>py na b</w:t>
      </w:r>
      <w:r w:rsidRPr="00E71603">
        <w:rPr>
          <w:rFonts w:hint="cs"/>
          <w:iCs/>
          <w:sz w:val="22"/>
          <w:szCs w:val="22"/>
          <w:lang w:eastAsia="sk-SK"/>
        </w:rPr>
        <w:t>á</w:t>
      </w:r>
      <w:r w:rsidRPr="00E71603">
        <w:rPr>
          <w:iCs/>
          <w:sz w:val="22"/>
          <w:szCs w:val="22"/>
          <w:lang w:eastAsia="sk-SK"/>
        </w:rPr>
        <w:t xml:space="preserve">ze </w:t>
      </w:r>
      <w:proofErr w:type="spellStart"/>
      <w:r w:rsidRPr="00E71603">
        <w:rPr>
          <w:iCs/>
          <w:sz w:val="22"/>
          <w:szCs w:val="22"/>
          <w:lang w:eastAsia="sk-SK"/>
        </w:rPr>
        <w:t>Flow</w:t>
      </w:r>
      <w:proofErr w:type="spellEnd"/>
      <w:r w:rsidRPr="00E71603">
        <w:rPr>
          <w:iCs/>
          <w:sz w:val="22"/>
          <w:szCs w:val="22"/>
          <w:lang w:eastAsia="sk-SK"/>
        </w:rPr>
        <w:t xml:space="preserve"> </w:t>
      </w:r>
      <w:proofErr w:type="spellStart"/>
      <w:r w:rsidRPr="00E71603">
        <w:rPr>
          <w:iCs/>
          <w:sz w:val="22"/>
          <w:szCs w:val="22"/>
          <w:lang w:eastAsia="sk-SK"/>
        </w:rPr>
        <w:t>Based</w:t>
      </w:r>
      <w:proofErr w:type="spellEnd"/>
      <w:r w:rsidRPr="00E71603">
        <w:rPr>
          <w:iCs/>
          <w:sz w:val="22"/>
          <w:szCs w:val="22"/>
          <w:lang w:eastAsia="sk-SK"/>
        </w:rPr>
        <w:t>.</w:t>
      </w:r>
    </w:p>
    <w:p w:rsidR="00E71603" w:rsidRPr="00E71603" w:rsidRDefault="00E71603" w:rsidP="00E71603">
      <w:pPr>
        <w:numPr>
          <w:ilvl w:val="1"/>
          <w:numId w:val="14"/>
        </w:numPr>
        <w:spacing w:before="360" w:after="240" w:line="276" w:lineRule="auto"/>
        <w:ind w:left="426" w:hanging="426"/>
        <w:jc w:val="both"/>
        <w:outlineLvl w:val="1"/>
        <w:rPr>
          <w:b/>
          <w:lang w:eastAsia="sk-SK"/>
        </w:rPr>
      </w:pPr>
      <w:bookmarkStart w:id="13" w:name="_Toc485027464"/>
      <w:bookmarkStart w:id="14" w:name="_Toc487558005"/>
      <w:r w:rsidRPr="00E71603">
        <w:rPr>
          <w:b/>
          <w:lang w:eastAsia="sk-SK"/>
        </w:rPr>
        <w:t>Prevádzka modulu pre vykonávanie koordinovaných bezpečnostných analýz</w:t>
      </w:r>
      <w:bookmarkEnd w:id="13"/>
      <w:bookmarkEnd w:id="14"/>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Vykonávanie bezpečnostných analýz ustáleného chodu sústavy deň vopred (DACF) a v rámci dňa (IDCF) je jednou zo základných povinností prevádzkovateľov prenosových sústav, ktorá je požadovaná nie len platnou Prevádzkovou príručkou RG CE ENTSO-E ale rovnako tiež aktuálne prijímanou európskou legislatívou (predpis SO GL). Z dôvodu zvyšujúceho sa výskytu situácií, ktoré vyžadujú nasadenie rôznych nápravných opatrení za účelom zachovania spoľahlivosti a stability prevádzky sústavy, vyplynula potreba prípravy a koordinácie týchto opatrení už deň vopred. To je realizované v rámci DACF procesu s prevádzkovateľmi prenosových sústav v celom regióne. Schválením aktualizovanej verzie </w:t>
      </w:r>
      <w:proofErr w:type="spellStart"/>
      <w:r w:rsidRPr="00E71603">
        <w:rPr>
          <w:sz w:val="22"/>
          <w:szCs w:val="22"/>
          <w:lang w:eastAsia="sk-SK"/>
        </w:rPr>
        <w:t>Policy</w:t>
      </w:r>
      <w:proofErr w:type="spellEnd"/>
      <w:r w:rsidRPr="00E71603">
        <w:rPr>
          <w:sz w:val="22"/>
          <w:szCs w:val="22"/>
          <w:lang w:eastAsia="sk-SK"/>
        </w:rPr>
        <w:t xml:space="preserve"> 4 Prevádzkovej príručky RG CE ENTSO-E v 06/2016 vošla do platnosti povinnosť pre prevádzkovateľov prenosových sústav poskytovať modely sústavy, vykonávať bezpečnostné analýzy a koordinovať nápravné opatrenia aj v rámci IDCF.</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Pre splnenie predmetných povinností, ako aj poskytnutie čo najpresnejších informácii pre zvýšenie spoľahlivosti prevádzky sústavy, je nevyhnutný robustný automatizovaný systém spoločný pre všetkých prevádzkovateľov PS v regióne. V októbri 2016 bola z tohto dôvodu spustená v spolupráci so spoločnosťou TSCNET </w:t>
      </w:r>
      <w:proofErr w:type="spellStart"/>
      <w:r w:rsidRPr="00E71603">
        <w:rPr>
          <w:sz w:val="22"/>
          <w:szCs w:val="22"/>
          <w:lang w:eastAsia="sk-SK"/>
        </w:rPr>
        <w:t>Services</w:t>
      </w:r>
      <w:proofErr w:type="spellEnd"/>
      <w:r w:rsidRPr="00E71603">
        <w:rPr>
          <w:sz w:val="22"/>
          <w:szCs w:val="22"/>
          <w:lang w:eastAsia="sk-SK"/>
        </w:rPr>
        <w:t xml:space="preserve"> </w:t>
      </w:r>
      <w:proofErr w:type="spellStart"/>
      <w:r w:rsidRPr="00E71603">
        <w:rPr>
          <w:sz w:val="22"/>
          <w:szCs w:val="22"/>
          <w:lang w:eastAsia="sk-SK"/>
        </w:rPr>
        <w:t>GmbH</w:t>
      </w:r>
      <w:proofErr w:type="spellEnd"/>
      <w:r w:rsidRPr="00E71603">
        <w:rPr>
          <w:sz w:val="22"/>
          <w:szCs w:val="22"/>
          <w:lang w:eastAsia="sk-SK"/>
        </w:rPr>
        <w:t xml:space="preserve"> testovacia prevádzka modulu pre vykonávanie koordinovaných bezpečnostných analýz s názvom „AMICA“. Modul umožňuje výpočet </w:t>
      </w:r>
      <w:proofErr w:type="spellStart"/>
      <w:r w:rsidRPr="00E71603">
        <w:rPr>
          <w:sz w:val="22"/>
          <w:szCs w:val="22"/>
          <w:lang w:eastAsia="sk-SK"/>
        </w:rPr>
        <w:t>kontingenčnej</w:t>
      </w:r>
      <w:proofErr w:type="spellEnd"/>
      <w:r w:rsidRPr="00E71603">
        <w:rPr>
          <w:sz w:val="22"/>
          <w:szCs w:val="22"/>
          <w:lang w:eastAsia="sk-SK"/>
        </w:rPr>
        <w:t xml:space="preserve"> analýzy, aplikáciu nápravných opatrení a generovanie výstupných správ ako z procesu DACF, tak aj z IDCF. Koordinácia nápravných opatrení, ktorých vplyv bol overený výpočtom v module, prebieha na pravidelnej dennej báze formou videokonferencie resp. </w:t>
      </w:r>
      <w:proofErr w:type="spellStart"/>
      <w:r w:rsidRPr="00E71603">
        <w:rPr>
          <w:sz w:val="22"/>
          <w:szCs w:val="22"/>
          <w:lang w:eastAsia="sk-SK"/>
        </w:rPr>
        <w:t>telekonferencie</w:t>
      </w:r>
      <w:proofErr w:type="spellEnd"/>
      <w:r w:rsidRPr="00E71603">
        <w:rPr>
          <w:sz w:val="22"/>
          <w:szCs w:val="22"/>
          <w:lang w:eastAsia="sk-SK"/>
        </w:rPr>
        <w:t xml:space="preserve"> (</w:t>
      </w:r>
      <w:proofErr w:type="spellStart"/>
      <w:r w:rsidRPr="00E71603">
        <w:rPr>
          <w:sz w:val="22"/>
          <w:szCs w:val="22"/>
          <w:lang w:eastAsia="sk-SK"/>
        </w:rPr>
        <w:t>Daily</w:t>
      </w:r>
      <w:proofErr w:type="spellEnd"/>
      <w:r w:rsidRPr="00E71603">
        <w:rPr>
          <w:sz w:val="22"/>
          <w:szCs w:val="22"/>
          <w:lang w:eastAsia="sk-SK"/>
        </w:rPr>
        <w:t xml:space="preserve"> </w:t>
      </w:r>
      <w:proofErr w:type="spellStart"/>
      <w:r w:rsidRPr="00E71603">
        <w:rPr>
          <w:sz w:val="22"/>
          <w:szCs w:val="22"/>
          <w:lang w:eastAsia="sk-SK"/>
        </w:rPr>
        <w:t>Operational</w:t>
      </w:r>
      <w:proofErr w:type="spellEnd"/>
      <w:r w:rsidRPr="00E71603">
        <w:rPr>
          <w:sz w:val="22"/>
          <w:szCs w:val="22"/>
          <w:lang w:eastAsia="sk-SK"/>
        </w:rPr>
        <w:t xml:space="preserve"> </w:t>
      </w:r>
      <w:proofErr w:type="spellStart"/>
      <w:r w:rsidRPr="00E71603">
        <w:rPr>
          <w:sz w:val="22"/>
          <w:szCs w:val="22"/>
          <w:lang w:eastAsia="sk-SK"/>
        </w:rPr>
        <w:t>Planning</w:t>
      </w:r>
      <w:proofErr w:type="spellEnd"/>
      <w:r w:rsidRPr="00E71603">
        <w:rPr>
          <w:sz w:val="22"/>
          <w:szCs w:val="22"/>
          <w:lang w:eastAsia="sk-SK"/>
        </w:rPr>
        <w:t xml:space="preserve"> </w:t>
      </w:r>
      <w:proofErr w:type="spellStart"/>
      <w:r w:rsidRPr="00E71603">
        <w:rPr>
          <w:sz w:val="22"/>
          <w:szCs w:val="22"/>
          <w:lang w:eastAsia="sk-SK"/>
        </w:rPr>
        <w:t>Teleconference</w:t>
      </w:r>
      <w:proofErr w:type="spellEnd"/>
      <w:r w:rsidRPr="00E71603">
        <w:rPr>
          <w:sz w:val="22"/>
          <w:szCs w:val="22"/>
          <w:lang w:eastAsia="sk-SK"/>
        </w:rPr>
        <w:t xml:space="preserve"> - DOPT), ktorá môže byť organizovaná v prípade potreby aj v rámci dňa (</w:t>
      </w:r>
      <w:proofErr w:type="spellStart"/>
      <w:r w:rsidRPr="00E71603">
        <w:rPr>
          <w:sz w:val="22"/>
          <w:szCs w:val="22"/>
          <w:lang w:eastAsia="sk-SK"/>
        </w:rPr>
        <w:t>iDOPT</w:t>
      </w:r>
      <w:proofErr w:type="spellEnd"/>
      <w:r w:rsidRPr="00E71603">
        <w:rPr>
          <w:sz w:val="22"/>
          <w:szCs w:val="22"/>
          <w:lang w:eastAsia="sk-SK"/>
        </w:rPr>
        <w:t>).</w:t>
      </w:r>
    </w:p>
    <w:p w:rsidR="00E71603" w:rsidRPr="00E71603" w:rsidRDefault="00E71603" w:rsidP="00E71603">
      <w:pPr>
        <w:spacing w:after="120" w:line="276" w:lineRule="auto"/>
        <w:jc w:val="both"/>
        <w:rPr>
          <w:b/>
          <w:lang w:eastAsia="en-US"/>
        </w:rPr>
      </w:pPr>
      <w:r w:rsidRPr="00E71603">
        <w:rPr>
          <w:sz w:val="22"/>
          <w:szCs w:val="22"/>
          <w:lang w:eastAsia="sk-SK"/>
        </w:rPr>
        <w:t>Z dôvodu ukončenia testovacej prevádzky k 30.6.2017, národný PPS uvažuje o následnom prechode na trvalú „ostrú“ prevádzku, resp. o alternatívnom spôsobe plnenia povinností vyplývajúcich zo spomínaných predpisov.</w:t>
      </w:r>
      <w:r w:rsidRPr="00E71603">
        <w:rPr>
          <w:rFonts w:eastAsia="Calibri"/>
          <w:b/>
          <w:lang w:eastAsia="en-US"/>
        </w:rPr>
        <w:br w:type="page"/>
      </w:r>
    </w:p>
    <w:p w:rsidR="00E71603" w:rsidRPr="00E71603" w:rsidRDefault="00E71603" w:rsidP="00E71603">
      <w:pPr>
        <w:keepNext/>
        <w:keepLines/>
        <w:numPr>
          <w:ilvl w:val="0"/>
          <w:numId w:val="14"/>
        </w:numPr>
        <w:spacing w:before="240" w:after="240" w:line="276" w:lineRule="auto"/>
        <w:ind w:left="426" w:hanging="426"/>
        <w:jc w:val="both"/>
        <w:outlineLvl w:val="0"/>
        <w:rPr>
          <w:b/>
          <w:caps/>
          <w:lang w:eastAsia="en-US"/>
        </w:rPr>
      </w:pPr>
      <w:bookmarkStart w:id="15" w:name="_Toc487558006"/>
      <w:r w:rsidRPr="00E71603">
        <w:rPr>
          <w:b/>
          <w:caps/>
          <w:lang w:eastAsia="en-US"/>
        </w:rPr>
        <w:lastRenderedPageBreak/>
        <w:t>Perspektívy zabezpečenia dodávok elektriny na obdobie 5 až 15 rokov</w:t>
      </w:r>
      <w:bookmarkEnd w:id="15"/>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Výhľad spotreby elektriny v SR je základným vstupom pre analýzu zabezpečenia dodávok elektriny v dlhodobom horizonte a pre celkové strategické smerovanie budúceho vývoja </w:t>
      </w:r>
      <w:proofErr w:type="spellStart"/>
      <w:r w:rsidRPr="00E71603">
        <w:rPr>
          <w:rFonts w:eastAsia="Calibri"/>
          <w:color w:val="000000"/>
          <w:sz w:val="22"/>
          <w:szCs w:val="22"/>
          <w:lang w:eastAsia="en-US"/>
        </w:rPr>
        <w:t>elektroenergetiky</w:t>
      </w:r>
      <w:proofErr w:type="spellEnd"/>
      <w:r w:rsidRPr="00E71603">
        <w:rPr>
          <w:rFonts w:eastAsia="Calibri"/>
          <w:color w:val="000000"/>
          <w:sz w:val="22"/>
          <w:szCs w:val="22"/>
          <w:lang w:eastAsia="en-US"/>
        </w:rPr>
        <w:t xml:space="preserve"> SR.</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Na základe výraznejšieho rastu spotreby elektriny v roku 2015 boli scenáre výhľadu spotreby už v predchádzajúcej správe mierne navýšené oproti predchádzajúcim predpokladom z roku 2014. Spotreba elektriny v r. 2016 dosiahla hodnotu 30,103 </w:t>
      </w:r>
      <w:proofErr w:type="spellStart"/>
      <w:r w:rsidRPr="00E71603">
        <w:rPr>
          <w:rFonts w:eastAsia="Calibri"/>
          <w:color w:val="000000"/>
          <w:sz w:val="22"/>
          <w:szCs w:val="22"/>
          <w:lang w:eastAsia="en-US"/>
        </w:rPr>
        <w:t>TWh</w:t>
      </w:r>
      <w:proofErr w:type="spellEnd"/>
      <w:r w:rsidRPr="00E71603">
        <w:rPr>
          <w:rFonts w:eastAsia="Calibri"/>
          <w:color w:val="000000"/>
          <w:sz w:val="22"/>
          <w:szCs w:val="22"/>
          <w:lang w:eastAsia="en-US"/>
        </w:rPr>
        <w:t>. Výhľad pre nasledujúce obdobie naďalej vychádza z predpokladaných prognóz rastu HDP a vývoja energetickej náročnosti, spracovanej v štúdii „Aktualizácia prognózy spotreby elektriny v SR do roku 2035“ (spracovaná v roku 2016), ktorá uvažuje s rastúcim trendom spotreby elektriny, pričom táto bola taktiež korigovaná s ohľadom na veľkosť vlastnej spotreby výrobnej základne pre očakávaný scenár.</w:t>
      </w:r>
    </w:p>
    <w:p w:rsidR="00E71603" w:rsidRPr="00E71603" w:rsidRDefault="00E71603" w:rsidP="00E71603">
      <w:pPr>
        <w:autoSpaceDE w:val="0"/>
        <w:autoSpaceDN w:val="0"/>
        <w:adjustRightInd w:val="0"/>
        <w:spacing w:line="276" w:lineRule="auto"/>
        <w:jc w:val="center"/>
        <w:rPr>
          <w:rFonts w:eastAsia="Calibri"/>
          <w:sz w:val="22"/>
          <w:szCs w:val="22"/>
          <w:lang w:eastAsia="en-US"/>
        </w:rPr>
      </w:pPr>
      <w:r w:rsidRPr="00E71603">
        <w:rPr>
          <w:rFonts w:eastAsia="Calibri"/>
          <w:iCs/>
          <w:noProof/>
          <w:sz w:val="22"/>
          <w:szCs w:val="22"/>
          <w:lang w:eastAsia="sk-SK"/>
        </w:rPr>
        <w:drawing>
          <wp:inline distT="0" distB="0" distL="0" distR="0" wp14:anchorId="40B8A703" wp14:editId="06EBF982">
            <wp:extent cx="5638956" cy="3141345"/>
            <wp:effectExtent l="0" t="0" r="0" b="1905"/>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48069" cy="3146422"/>
                    </a:xfrm>
                    <a:prstGeom prst="rect">
                      <a:avLst/>
                    </a:prstGeom>
                    <a:noFill/>
                  </pic:spPr>
                </pic:pic>
              </a:graphicData>
            </a:graphic>
          </wp:inline>
        </w:drawing>
      </w:r>
    </w:p>
    <w:p w:rsidR="00E71603" w:rsidRPr="00E71603" w:rsidRDefault="00E71603" w:rsidP="00E71603">
      <w:pPr>
        <w:spacing w:after="240" w:line="276" w:lineRule="auto"/>
        <w:jc w:val="center"/>
        <w:rPr>
          <w:b/>
          <w:bCs/>
          <w:i/>
          <w:iCs/>
          <w:sz w:val="22"/>
          <w:szCs w:val="22"/>
          <w:lang w:eastAsia="sk-SK"/>
        </w:rPr>
      </w:pPr>
      <w:r w:rsidRPr="00E71603">
        <w:rPr>
          <w:b/>
          <w:bCs/>
          <w:i/>
          <w:iCs/>
          <w:sz w:val="22"/>
          <w:szCs w:val="22"/>
          <w:lang w:eastAsia="sk-SK"/>
        </w:rPr>
        <w:t>Obr. 3.1  Prognóza vývoja celkovej spotreby elektriny na Slovensku v rokoch 2017 až 2030 (východiskový rok 2016)</w:t>
      </w:r>
    </w:p>
    <w:p w:rsidR="00E71603" w:rsidRPr="00E71603" w:rsidRDefault="00E71603" w:rsidP="00E71603">
      <w:pPr>
        <w:autoSpaceDE w:val="0"/>
        <w:autoSpaceDN w:val="0"/>
        <w:adjustRightInd w:val="0"/>
        <w:spacing w:line="276" w:lineRule="auto"/>
        <w:rPr>
          <w:rFonts w:eastAsia="Calibri"/>
          <w:b/>
          <w:sz w:val="22"/>
          <w:szCs w:val="22"/>
          <w:lang w:eastAsia="en-US"/>
        </w:rPr>
      </w:pPr>
      <w:r w:rsidRPr="00E71603">
        <w:rPr>
          <w:rFonts w:eastAsia="Calibri"/>
          <w:b/>
          <w:i/>
          <w:iCs/>
          <w:sz w:val="22"/>
          <w:szCs w:val="22"/>
          <w:lang w:eastAsia="en-US"/>
        </w:rPr>
        <w:t>Tab. 3.1  Prognóza vývoja celkovej spotreby elektriny na Slovensku (</w:t>
      </w:r>
      <w:proofErr w:type="spellStart"/>
      <w:r w:rsidRPr="00E71603">
        <w:rPr>
          <w:rFonts w:eastAsia="Calibri"/>
          <w:b/>
          <w:i/>
          <w:iCs/>
          <w:sz w:val="22"/>
          <w:szCs w:val="22"/>
          <w:lang w:eastAsia="en-US"/>
        </w:rPr>
        <w:t>TWh</w:t>
      </w:r>
      <w:proofErr w:type="spellEnd"/>
      <w:r w:rsidRPr="00E71603">
        <w:rPr>
          <w:rFonts w:eastAsia="Calibri"/>
          <w:b/>
          <w:i/>
          <w:iCs/>
          <w:sz w:val="22"/>
          <w:szCs w:val="22"/>
          <w:lang w:eastAsia="en-US"/>
        </w:rPr>
        <w:t>)</w:t>
      </w:r>
    </w:p>
    <w:p w:rsidR="00E71603" w:rsidRPr="00E71603" w:rsidRDefault="00E71603" w:rsidP="00E71603">
      <w:pPr>
        <w:spacing w:after="360" w:line="276" w:lineRule="auto"/>
        <w:rPr>
          <w:b/>
          <w:bCs/>
          <w:i/>
          <w:iCs/>
          <w:sz w:val="22"/>
          <w:szCs w:val="22"/>
          <w:lang w:eastAsia="sk-SK"/>
        </w:rPr>
      </w:pPr>
      <w:r w:rsidRPr="00E71603">
        <w:rPr>
          <w:b/>
          <w:bCs/>
          <w:iCs/>
          <w:noProof/>
          <w:sz w:val="22"/>
          <w:szCs w:val="22"/>
          <w:lang w:eastAsia="sk-SK"/>
        </w:rPr>
        <w:drawing>
          <wp:inline distT="0" distB="0" distL="0" distR="0" wp14:anchorId="07AC24C1" wp14:editId="720AC160">
            <wp:extent cx="5759450" cy="688747"/>
            <wp:effectExtent l="0" t="0" r="0" b="0"/>
            <wp:docPr id="59"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688747"/>
                    </a:xfrm>
                    <a:prstGeom prst="rect">
                      <a:avLst/>
                    </a:prstGeom>
                    <a:noFill/>
                  </pic:spPr>
                </pic:pic>
              </a:graphicData>
            </a:graphic>
          </wp:inline>
        </w:drawing>
      </w:r>
    </w:p>
    <w:p w:rsidR="00E71603" w:rsidRPr="00E71603" w:rsidRDefault="00E71603" w:rsidP="00E71603">
      <w:pPr>
        <w:tabs>
          <w:tab w:val="left" w:pos="2694"/>
        </w:tabs>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Menšie fosílne zdroje s kombinovanou výrobou elektriny a tepla a niektoré typy OZE sú vzhľadom na svoj menovitý inštalovaný výkon pripájané do regionálnych distribučných sústav, čím sú bližšie k miestam konečnej spotreby elektriny. Nástrojom v oblasti regulácie výstavby zdrojov elektriny na území SR je osvedčenie MH SR na výstavbu energetického zariadenia.</w:t>
      </w:r>
    </w:p>
    <w:p w:rsidR="00E71603" w:rsidRPr="00E71603" w:rsidRDefault="00E71603" w:rsidP="00E71603">
      <w:pPr>
        <w:tabs>
          <w:tab w:val="left" w:pos="2694"/>
        </w:tabs>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Z dôvodu záujmu investorov o výstavbu zariadení na výrobu elektrickej energie pripájaných do distribučných sústav, boli prevádzkovateľmi sústav v SR v spolupráci s nezávislou inštitúciou analyzované maximálne hodnoty inštalovaného výkonu zdrojov elektriny pripájaných do distribučných sústav pre uzlové oblasti elektrizačnej sústavy SR. Nekontrolované pripájanie </w:t>
      </w:r>
      <w:r w:rsidRPr="00E71603">
        <w:rPr>
          <w:rFonts w:eastAsia="Calibri"/>
          <w:color w:val="000000"/>
          <w:sz w:val="22"/>
          <w:szCs w:val="22"/>
          <w:lang w:eastAsia="en-US"/>
        </w:rPr>
        <w:lastRenderedPageBreak/>
        <w:t>decentralizovaných zdrojov elektriny do DS by totiž mohlo spôsobiť nežiaduce zvyšovanie tokov elektriny na existujúcich cezhraničných vedeniach v PS a takisto aj na rozhraní PS/DS. Výsledky analýz by mali v konečnom dôsledku ukázať limity jednotlivých DS pre pripájanie decentralizovaných zdrojov elektriny.</w:t>
      </w:r>
    </w:p>
    <w:p w:rsidR="00E71603" w:rsidRPr="00E71603" w:rsidRDefault="00E71603" w:rsidP="00E71603">
      <w:pPr>
        <w:tabs>
          <w:tab w:val="left" w:pos="2694"/>
        </w:tabs>
        <w:autoSpaceDE w:val="0"/>
        <w:autoSpaceDN w:val="0"/>
        <w:adjustRightInd w:val="0"/>
        <w:spacing w:after="120" w:line="276" w:lineRule="auto"/>
        <w:jc w:val="both"/>
        <w:rPr>
          <w:rFonts w:eastAsia="Calibri"/>
          <w:iCs/>
          <w:color w:val="000000"/>
          <w:sz w:val="22"/>
          <w:szCs w:val="22"/>
          <w:lang w:eastAsia="en-US"/>
        </w:rPr>
      </w:pPr>
      <w:r w:rsidRPr="00E71603">
        <w:rPr>
          <w:rFonts w:eastAsia="Calibri"/>
          <w:iCs/>
          <w:color w:val="000000"/>
          <w:sz w:val="22"/>
          <w:szCs w:val="22"/>
          <w:lang w:eastAsia="en-US"/>
        </w:rPr>
        <w:t>Taktiež je deklarovaný záujem aj o výstavbu veľkých centralizovaných zdrojov elektriny, ktoré by boli vzhľadom na svoj menovitý inštalovaný výkon pripojené do PS. Ide predovšetkým o dva nové bloky jadrovej elektrárne Mochovce so sumárnym inštalovaným výkonom 2x440 MW. Tento výkon výrobných zariadení by mal byť k dispozícii 12/2018 (blok č. 3) a s odstupom jedného roka 12/2019 (blok č. 4) s postupným zvyšovaním až na 2x530 MW. Infraštruktúra na pripojenie oboch nových blokov do PS je už vybudovaná.</w:t>
      </w:r>
    </w:p>
    <w:p w:rsidR="00E71603" w:rsidRPr="00E71603" w:rsidRDefault="00E71603" w:rsidP="00E71603">
      <w:pPr>
        <w:tabs>
          <w:tab w:val="left" w:pos="2694"/>
        </w:tabs>
        <w:autoSpaceDE w:val="0"/>
        <w:autoSpaceDN w:val="0"/>
        <w:adjustRightInd w:val="0"/>
        <w:spacing w:after="120" w:line="276" w:lineRule="auto"/>
        <w:jc w:val="both"/>
        <w:rPr>
          <w:rFonts w:eastAsia="Calibri"/>
          <w:iCs/>
          <w:color w:val="000000"/>
          <w:sz w:val="22"/>
          <w:szCs w:val="22"/>
          <w:lang w:eastAsia="en-US"/>
        </w:rPr>
      </w:pPr>
      <w:r w:rsidRPr="00E71603">
        <w:rPr>
          <w:rFonts w:eastAsia="Calibri"/>
          <w:iCs/>
          <w:color w:val="000000"/>
          <w:sz w:val="22"/>
          <w:szCs w:val="22"/>
          <w:lang w:eastAsia="en-US"/>
        </w:rPr>
        <w:t>Nový jadrový zdroj (ďalej len „NJZ“) v lokalite Jaslovské Bohunice s celkovým inštalovaným výkonom 1 200 MW by bol vzhľadom na jeho vplyv na celú elektrizačnú sústavu a energetickú bezpečnosť SR najvýznamnejším perspektívnym projektom slovenskej energetiky v dlhodobom horizonte. Nakoľko ešte v súčasnosti nie je jasná stratégia dlhodobej prevádzky EBO V2, Energetická politika SR (2014) v jednom z variantov uvádza, že v prípade predĺženia prevádzky EBO V2 po roku 2035 je potrebné uvažovať aj s alternatívou súbežnej prevádzky EBO V2 a NJZ. Z pohľadu celkovej bilancie regulačnej oblasti SR by bola výstavba NJZ efektívnejšia v prípade uvažovania NJZ ako náhrady za existujúcu elektráreň EBO V2. Vzhľadom k tomu, že ide o významný projekt s nezanedbateľným vplyvom na ES SR a okolité sústavy a vzhľadom k tomu, že do doby výstavby môže dôjsť k výrazným zmenám predpokladov, bude nevyhnutné vplyvy a požiadavky aktualizovať v ďalšom období prípravy tohto projektu.</w:t>
      </w:r>
    </w:p>
    <w:p w:rsidR="00E71603" w:rsidRPr="00E71603" w:rsidRDefault="00E71603" w:rsidP="00E71603">
      <w:pPr>
        <w:tabs>
          <w:tab w:val="left" w:pos="2694"/>
        </w:tabs>
        <w:autoSpaceDE w:val="0"/>
        <w:autoSpaceDN w:val="0"/>
        <w:adjustRightInd w:val="0"/>
        <w:spacing w:after="120" w:line="276" w:lineRule="auto"/>
        <w:jc w:val="both"/>
        <w:rPr>
          <w:rFonts w:eastAsia="Calibri"/>
          <w:iCs/>
          <w:color w:val="000000"/>
          <w:sz w:val="22"/>
          <w:szCs w:val="22"/>
          <w:lang w:eastAsia="en-US"/>
        </w:rPr>
      </w:pPr>
      <w:r w:rsidRPr="00E71603">
        <w:rPr>
          <w:rFonts w:eastAsia="Calibri"/>
          <w:iCs/>
          <w:color w:val="000000"/>
          <w:sz w:val="22"/>
          <w:szCs w:val="22"/>
          <w:lang w:eastAsia="en-US"/>
        </w:rPr>
        <w:t xml:space="preserve">Projekt prečerpávacej vodnej elektrárne Ipeľ (PVE Ipeľ) s týždenným cyklom prečerpávania bol v minulosti už viackrát avizovaný. Tento možný zdroj elektriny predstavuje zároveň významný potenciál pri poskytovaní podporných služieb. Realizácia projektu bude závisieť od vývoja medzinárodného trhu s elektrinou a rozhodnutí strategického investora, ktorý sa má na realizácii tohto projektu podieľať. Pripojenie PVE Ipeľ do PS SR by si taktiež vyžiadalo rozsiahle investície na strane PS SR. Vybudovaním PVE Ipeľ by sa výrazným spôsobom zvýšila spoľahlivosť dodávok elektriny na území SR, nakoľko pôjde o flexibilný zdroj s vynikajúcimi regulačnými schopnosťami. </w:t>
      </w:r>
    </w:p>
    <w:p w:rsidR="00E71603" w:rsidRPr="00E71603" w:rsidRDefault="00E71603" w:rsidP="00E71603">
      <w:pPr>
        <w:tabs>
          <w:tab w:val="left" w:pos="2694"/>
        </w:tabs>
        <w:autoSpaceDE w:val="0"/>
        <w:autoSpaceDN w:val="0"/>
        <w:adjustRightInd w:val="0"/>
        <w:spacing w:after="240" w:line="276" w:lineRule="auto"/>
        <w:jc w:val="both"/>
        <w:rPr>
          <w:rFonts w:eastAsia="Calibri"/>
          <w:color w:val="000000"/>
          <w:sz w:val="22"/>
          <w:szCs w:val="22"/>
          <w:lang w:eastAsia="en-US"/>
        </w:rPr>
      </w:pPr>
      <w:r w:rsidRPr="00E71603">
        <w:rPr>
          <w:rFonts w:eastAsia="Calibri"/>
          <w:iCs/>
          <w:color w:val="000000"/>
          <w:sz w:val="22"/>
          <w:szCs w:val="22"/>
          <w:lang w:eastAsia="en-US"/>
        </w:rPr>
        <w:t xml:space="preserve">Pre porovnanie prognózy vývoja spotreby a výroby elektriny v SR je ďalej bilancovaná disponibilná výroba zo zdrojov v SR na úrovni očakávaného scenára. Očakávaný scenár predpokladá dostavbu a uvedenie EMO 3, 4 do prevádzky, prevádzku existujúcich zdrojov ENO A, ENO B </w:t>
      </w:r>
      <w:proofErr w:type="spellStart"/>
      <w:r w:rsidRPr="00E71603">
        <w:rPr>
          <w:rFonts w:eastAsia="Calibri"/>
          <w:iCs/>
          <w:color w:val="000000"/>
          <w:sz w:val="22"/>
          <w:szCs w:val="22"/>
          <w:lang w:eastAsia="en-US"/>
        </w:rPr>
        <w:t>bl</w:t>
      </w:r>
      <w:proofErr w:type="spellEnd"/>
      <w:r w:rsidRPr="00E71603">
        <w:rPr>
          <w:rFonts w:eastAsia="Calibri"/>
          <w:iCs/>
          <w:color w:val="000000"/>
          <w:sz w:val="22"/>
          <w:szCs w:val="22"/>
          <w:lang w:eastAsia="en-US"/>
        </w:rPr>
        <w:t>. 1 a 2 a EVO 1 </w:t>
      </w:r>
      <w:proofErr w:type="spellStart"/>
      <w:r w:rsidRPr="00E71603">
        <w:rPr>
          <w:rFonts w:eastAsia="Calibri"/>
          <w:iCs/>
          <w:color w:val="000000"/>
          <w:sz w:val="22"/>
          <w:szCs w:val="22"/>
          <w:lang w:eastAsia="en-US"/>
        </w:rPr>
        <w:t>bl</w:t>
      </w:r>
      <w:proofErr w:type="spellEnd"/>
      <w:r w:rsidRPr="00E71603">
        <w:rPr>
          <w:rFonts w:eastAsia="Calibri"/>
          <w:iCs/>
          <w:color w:val="000000"/>
          <w:sz w:val="22"/>
          <w:szCs w:val="22"/>
          <w:lang w:eastAsia="en-US"/>
        </w:rPr>
        <w:t>. 5 a 6. a výstavbu OZE podľa cieľov EÚ do roku 2030. Za uvedených okolností by disponibilná výroba elektriny prevyšovala očakávanú spotrebu elektriny v SR. Veľkosť prebytku disponibilného výkonu zdrojov elektriny na území SR bude závisieť aj od rozsahu výstavby ďalších nových zdrojov elektriny v SR.</w:t>
      </w:r>
    </w:p>
    <w:p w:rsidR="00E71603" w:rsidRPr="00E71603" w:rsidRDefault="00E71603" w:rsidP="00E71603">
      <w:pPr>
        <w:spacing w:before="240" w:line="276" w:lineRule="auto"/>
        <w:rPr>
          <w:b/>
          <w:bCs/>
          <w:i/>
          <w:sz w:val="22"/>
          <w:szCs w:val="22"/>
          <w:lang w:eastAsia="sk-SK"/>
        </w:rPr>
      </w:pPr>
      <w:r w:rsidRPr="00E71603">
        <w:rPr>
          <w:b/>
          <w:i/>
          <w:iCs/>
          <w:sz w:val="22"/>
          <w:szCs w:val="22"/>
          <w:lang w:eastAsia="sk-SK"/>
        </w:rPr>
        <w:t>Tab. 3.2  P</w:t>
      </w:r>
      <w:r w:rsidRPr="00E71603">
        <w:rPr>
          <w:b/>
          <w:bCs/>
          <w:i/>
          <w:sz w:val="22"/>
          <w:szCs w:val="22"/>
          <w:lang w:eastAsia="sk-SK"/>
        </w:rPr>
        <w:t>redpokladaná bilancia spotreby a výroby elektriny v </w:t>
      </w:r>
      <w:proofErr w:type="spellStart"/>
      <w:r w:rsidRPr="00E71603">
        <w:rPr>
          <w:b/>
          <w:bCs/>
          <w:i/>
          <w:sz w:val="22"/>
          <w:szCs w:val="22"/>
          <w:lang w:eastAsia="sk-SK"/>
        </w:rPr>
        <w:t>TWh</w:t>
      </w:r>
      <w:proofErr w:type="spellEnd"/>
      <w:r w:rsidRPr="00E71603">
        <w:rPr>
          <w:b/>
          <w:bCs/>
          <w:i/>
          <w:sz w:val="22"/>
          <w:szCs w:val="22"/>
          <w:lang w:eastAsia="sk-SK"/>
        </w:rPr>
        <w:t xml:space="preserve"> do roku 2030</w:t>
      </w:r>
    </w:p>
    <w:p w:rsidR="00E71603" w:rsidRPr="00E71603" w:rsidRDefault="00E71603" w:rsidP="00E71603">
      <w:pPr>
        <w:spacing w:line="276" w:lineRule="auto"/>
        <w:rPr>
          <w:b/>
          <w:bCs/>
          <w:lang w:eastAsia="sk-SK"/>
        </w:rPr>
      </w:pPr>
      <w:r w:rsidRPr="00E71603">
        <w:rPr>
          <w:b/>
          <w:bCs/>
          <w:iCs/>
          <w:noProof/>
          <w:sz w:val="22"/>
          <w:szCs w:val="22"/>
          <w:lang w:eastAsia="sk-SK"/>
        </w:rPr>
        <w:drawing>
          <wp:inline distT="0" distB="0" distL="0" distR="0" wp14:anchorId="05B1A4F6" wp14:editId="0B1221C6">
            <wp:extent cx="5040000" cy="842688"/>
            <wp:effectExtent l="0" t="0" r="8255" b="0"/>
            <wp:docPr id="6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0000" cy="842688"/>
                    </a:xfrm>
                    <a:prstGeom prst="rect">
                      <a:avLst/>
                    </a:prstGeom>
                    <a:noFill/>
                  </pic:spPr>
                </pic:pic>
              </a:graphicData>
            </a:graphic>
          </wp:inline>
        </w:drawing>
      </w:r>
    </w:p>
    <w:p w:rsidR="00E71603" w:rsidRPr="00E71603" w:rsidRDefault="00E71603" w:rsidP="00E71603">
      <w:pPr>
        <w:spacing w:after="240" w:line="276" w:lineRule="auto"/>
        <w:rPr>
          <w:bCs/>
          <w:i/>
          <w:sz w:val="22"/>
          <w:szCs w:val="22"/>
          <w:lang w:eastAsia="sk-SK"/>
        </w:rPr>
      </w:pPr>
      <w:r w:rsidRPr="00E71603">
        <w:rPr>
          <w:bCs/>
          <w:i/>
          <w:lang w:eastAsia="sk-SK"/>
        </w:rPr>
        <w:t xml:space="preserve"> </w:t>
      </w:r>
      <w:r w:rsidRPr="00E71603">
        <w:rPr>
          <w:bCs/>
          <w:i/>
          <w:iCs/>
          <w:sz w:val="16"/>
          <w:szCs w:val="16"/>
          <w:lang w:eastAsia="sk-SK"/>
        </w:rPr>
        <w:t>*očakávaný scenár = neuvažuje sa s prevádzkou PPC Malženice a PPC Bratislava</w:t>
      </w:r>
    </w:p>
    <w:p w:rsidR="00E71603" w:rsidRPr="00E71603" w:rsidRDefault="00E71603" w:rsidP="00E71603">
      <w:pPr>
        <w:spacing w:after="120" w:line="276" w:lineRule="auto"/>
        <w:jc w:val="both"/>
        <w:rPr>
          <w:bCs/>
          <w:sz w:val="22"/>
          <w:szCs w:val="22"/>
          <w:lang w:eastAsia="sk-SK"/>
        </w:rPr>
      </w:pPr>
      <w:r w:rsidRPr="00E71603">
        <w:rPr>
          <w:bCs/>
          <w:sz w:val="22"/>
          <w:szCs w:val="22"/>
          <w:lang w:eastAsia="sk-SK"/>
        </w:rPr>
        <w:t xml:space="preserve">V celom sledovanom období nie je uvažované s výrobou v PPC Malženice a PPC Bratislava. Ich spoločná potenciálna výroba je viac ako 3 </w:t>
      </w:r>
      <w:proofErr w:type="spellStart"/>
      <w:r w:rsidRPr="00E71603">
        <w:rPr>
          <w:bCs/>
          <w:sz w:val="22"/>
          <w:szCs w:val="22"/>
          <w:lang w:eastAsia="sk-SK"/>
        </w:rPr>
        <w:t>TWh</w:t>
      </w:r>
      <w:proofErr w:type="spellEnd"/>
      <w:r w:rsidRPr="00E71603">
        <w:rPr>
          <w:bCs/>
          <w:sz w:val="22"/>
          <w:szCs w:val="22"/>
          <w:lang w:eastAsia="sk-SK"/>
        </w:rPr>
        <w:t>. Pokiaľ budú tieto významné zdroje znovu uvedené do prevádzky, celková výroba SR vzrastie a s ňou úmerne aj bilančné saldo.</w:t>
      </w:r>
    </w:p>
    <w:p w:rsidR="00E71603" w:rsidRPr="00E71603" w:rsidRDefault="00E71603" w:rsidP="00E71603">
      <w:pPr>
        <w:spacing w:line="276" w:lineRule="auto"/>
        <w:jc w:val="center"/>
        <w:rPr>
          <w:bCs/>
          <w:sz w:val="22"/>
          <w:szCs w:val="22"/>
          <w:lang w:eastAsia="sk-SK"/>
        </w:rPr>
      </w:pPr>
      <w:r w:rsidRPr="00E71603">
        <w:rPr>
          <w:b/>
          <w:bCs/>
          <w:iCs/>
          <w:noProof/>
          <w:sz w:val="22"/>
          <w:szCs w:val="22"/>
          <w:lang w:eastAsia="sk-SK"/>
        </w:rPr>
        <w:lastRenderedPageBreak/>
        <w:drawing>
          <wp:inline distT="0" distB="0" distL="0" distR="0" wp14:anchorId="2E34CCFD" wp14:editId="3AA8D9AE">
            <wp:extent cx="5040000" cy="2720868"/>
            <wp:effectExtent l="0" t="0" r="8255" b="3810"/>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t="9307" b="4029"/>
                    <a:stretch/>
                  </pic:blipFill>
                  <pic:spPr bwMode="auto">
                    <a:xfrm>
                      <a:off x="0" y="0"/>
                      <a:ext cx="5040000" cy="2720868"/>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autoSpaceDE w:val="0"/>
        <w:autoSpaceDN w:val="0"/>
        <w:adjustRightInd w:val="0"/>
        <w:spacing w:after="240" w:line="276" w:lineRule="auto"/>
        <w:jc w:val="center"/>
        <w:rPr>
          <w:rFonts w:eastAsia="Calibri"/>
          <w:b/>
          <w:i/>
          <w:sz w:val="22"/>
          <w:szCs w:val="22"/>
          <w:lang w:eastAsia="en-US"/>
        </w:rPr>
      </w:pPr>
      <w:r w:rsidRPr="00E71603">
        <w:rPr>
          <w:rFonts w:eastAsia="Calibri"/>
          <w:b/>
          <w:i/>
          <w:sz w:val="22"/>
          <w:szCs w:val="22"/>
          <w:lang w:eastAsia="en-US"/>
        </w:rPr>
        <w:t>Obr. 3.2  Prognóza vývoja spotreby elektriny a jej pokrývania disponibilnou výrobou elektriny podľa očakávaného scenára do roku 2030</w:t>
      </w:r>
    </w:p>
    <w:p w:rsidR="00E71603" w:rsidRPr="00E71603" w:rsidRDefault="00E71603" w:rsidP="00E71603">
      <w:pPr>
        <w:autoSpaceDE w:val="0"/>
        <w:autoSpaceDN w:val="0"/>
        <w:adjustRightInd w:val="0"/>
        <w:spacing w:before="240" w:line="276" w:lineRule="auto"/>
        <w:rPr>
          <w:rFonts w:eastAsia="Calibri"/>
          <w:b/>
          <w:i/>
          <w:sz w:val="22"/>
          <w:szCs w:val="22"/>
          <w:lang w:eastAsia="en-US"/>
        </w:rPr>
      </w:pPr>
      <w:r w:rsidRPr="00E71603">
        <w:rPr>
          <w:rFonts w:eastAsia="Calibri"/>
          <w:b/>
          <w:i/>
          <w:iCs/>
          <w:sz w:val="22"/>
          <w:szCs w:val="22"/>
          <w:lang w:eastAsia="en-US"/>
        </w:rPr>
        <w:t>Tab. 3.3  Prognóza vývoja podielu disponibilnej výroby elektriny podľa očakávaného scenára na spotrebe elektriny SR v %</w:t>
      </w:r>
      <w:r w:rsidRPr="00E71603">
        <w:rPr>
          <w:rFonts w:eastAsia="Calibri"/>
          <w:iCs/>
          <w:noProof/>
          <w:sz w:val="22"/>
          <w:szCs w:val="22"/>
          <w:lang w:eastAsia="sk-SK"/>
        </w:rPr>
        <w:drawing>
          <wp:inline distT="0" distB="0" distL="0" distR="0" wp14:anchorId="4A6239ED" wp14:editId="3555158F">
            <wp:extent cx="5759450" cy="1133735"/>
            <wp:effectExtent l="0" t="0" r="0" b="9525"/>
            <wp:docPr id="62"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1133735"/>
                    </a:xfrm>
                    <a:prstGeom prst="rect">
                      <a:avLst/>
                    </a:prstGeom>
                    <a:noFill/>
                  </pic:spPr>
                </pic:pic>
              </a:graphicData>
            </a:graphic>
          </wp:inline>
        </w:drawing>
      </w:r>
    </w:p>
    <w:p w:rsidR="00E71603" w:rsidRPr="00E71603" w:rsidRDefault="00E71603" w:rsidP="00E71603">
      <w:pPr>
        <w:spacing w:line="276" w:lineRule="auto"/>
        <w:jc w:val="both"/>
        <w:rPr>
          <w:rFonts w:eastAsia="Calibri"/>
          <w:color w:val="000000"/>
          <w:sz w:val="22"/>
          <w:szCs w:val="22"/>
          <w:lang w:eastAsia="en-US"/>
        </w:rPr>
      </w:pP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Z uvedeného vyplýva, že pre dosiahnutie vyrovnanej bilancie medzi spotrebou a výrobou do roku 2030, pri predpoklade dokončenia už rozostavaných objektov a predpokladanej realizácie projektov OZE, nebude potrebná výstavba ďalších väčších zdrojov.</w:t>
      </w:r>
    </w:p>
    <w:p w:rsidR="00E71603" w:rsidRPr="00E71603" w:rsidRDefault="00E71603" w:rsidP="00E71603">
      <w:pPr>
        <w:spacing w:before="120" w:after="120" w:line="276" w:lineRule="auto"/>
        <w:jc w:val="both"/>
        <w:rPr>
          <w:bCs/>
          <w:color w:val="000000"/>
          <w:sz w:val="22"/>
          <w:szCs w:val="22"/>
          <w:lang w:eastAsia="sk-SK"/>
        </w:rPr>
      </w:pPr>
      <w:r w:rsidRPr="00E71603">
        <w:rPr>
          <w:rFonts w:eastAsia="Calibri"/>
          <w:color w:val="000000"/>
          <w:sz w:val="22"/>
          <w:szCs w:val="22"/>
          <w:lang w:eastAsia="en-US"/>
        </w:rPr>
        <w:t xml:space="preserve">SR má už v súčasnosti podiel </w:t>
      </w:r>
      <w:proofErr w:type="spellStart"/>
      <w:r w:rsidRPr="00E71603">
        <w:rPr>
          <w:rFonts w:eastAsia="Calibri"/>
          <w:color w:val="000000"/>
          <w:sz w:val="22"/>
          <w:szCs w:val="22"/>
          <w:lang w:eastAsia="en-US"/>
        </w:rPr>
        <w:t>bezuhlíkovej</w:t>
      </w:r>
      <w:proofErr w:type="spellEnd"/>
      <w:r w:rsidRPr="00E71603">
        <w:rPr>
          <w:rFonts w:eastAsia="Calibri"/>
          <w:color w:val="000000"/>
          <w:sz w:val="22"/>
          <w:szCs w:val="22"/>
          <w:lang w:eastAsia="en-US"/>
        </w:rPr>
        <w:t xml:space="preserve"> výroby elektriny na úrovni 74,2 % celkovej spotreby elektriny. Podiel </w:t>
      </w:r>
      <w:proofErr w:type="spellStart"/>
      <w:r w:rsidRPr="00E71603">
        <w:rPr>
          <w:rFonts w:eastAsia="Calibri"/>
          <w:color w:val="000000"/>
          <w:sz w:val="22"/>
          <w:szCs w:val="22"/>
          <w:lang w:eastAsia="en-US"/>
        </w:rPr>
        <w:t>bezuhlíkových</w:t>
      </w:r>
      <w:proofErr w:type="spellEnd"/>
      <w:r w:rsidRPr="00E71603">
        <w:rPr>
          <w:rFonts w:eastAsia="Calibri"/>
          <w:color w:val="000000"/>
          <w:sz w:val="22"/>
          <w:szCs w:val="22"/>
          <w:lang w:eastAsia="en-US"/>
        </w:rPr>
        <w:t xml:space="preserve"> technológii v roku 2020 na predpokladanej spotrebe elektriny v SR môže po dostavbe EMO 3, 4 a dosiahnutí cieľov stanovených v Národnom akčnom pláne výroby elektriny z OZE dosiahnuť 92,3 %.</w:t>
      </w:r>
      <w:r w:rsidRPr="00E71603">
        <w:rPr>
          <w:bCs/>
          <w:color w:val="000000"/>
          <w:sz w:val="22"/>
          <w:szCs w:val="22"/>
          <w:lang w:eastAsia="sk-SK"/>
        </w:rPr>
        <w:t xml:space="preserve">  </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Dôležitým aspektom pri rozvoji zdrojovej základne je zabezpečenie systémovej dostatočnosti, tzn. zabezpečenie optimálneho mixu zdrojov pre spoľahlivé a bezpečné prevádzkovanie sústavy v dlhodobom horizonte. Technický a ekonomický spôsob prevádzky zdrojov elektriny v ES SR vzhľadom na ich povahu a regulačné možnosti výrazne ovplyvňuje prevádzku systému. Napríklad jadrové zdroje svojou povahou majú obmedzené regulačné schopnosti a taktiež nie je možné uvažovať s využitím OZE pri riešení krízových stavov.</w:t>
      </w:r>
    </w:p>
    <w:p w:rsidR="00E71603" w:rsidRPr="00E71603" w:rsidRDefault="00E71603" w:rsidP="00E71603">
      <w:pPr>
        <w:spacing w:before="120" w:line="276" w:lineRule="auto"/>
        <w:jc w:val="both"/>
        <w:rPr>
          <w:bCs/>
          <w:color w:val="000000"/>
          <w:sz w:val="22"/>
          <w:szCs w:val="22"/>
          <w:lang w:eastAsia="sk-SK"/>
        </w:rPr>
      </w:pPr>
    </w:p>
    <w:p w:rsidR="00E71603" w:rsidRPr="00E71603" w:rsidRDefault="00E71603" w:rsidP="00E71603">
      <w:pPr>
        <w:spacing w:before="120" w:line="276" w:lineRule="auto"/>
        <w:jc w:val="center"/>
        <w:rPr>
          <w:bCs/>
          <w:color w:val="000000"/>
          <w:sz w:val="22"/>
          <w:szCs w:val="22"/>
          <w:lang w:eastAsia="sk-SK"/>
        </w:rPr>
      </w:pPr>
      <w:r w:rsidRPr="00E71603">
        <w:rPr>
          <w:b/>
          <w:bCs/>
          <w:iCs/>
          <w:noProof/>
          <w:sz w:val="22"/>
          <w:szCs w:val="22"/>
          <w:lang w:eastAsia="sk-SK"/>
        </w:rPr>
        <w:lastRenderedPageBreak/>
        <w:drawing>
          <wp:inline distT="0" distB="0" distL="0" distR="0" wp14:anchorId="25E76F67" wp14:editId="3AA9985D">
            <wp:extent cx="5324475" cy="2628900"/>
            <wp:effectExtent l="0" t="0" r="9525" b="0"/>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l="1398" t="6851" r="875" b="3120"/>
                    <a:stretch/>
                  </pic:blipFill>
                  <pic:spPr bwMode="auto">
                    <a:xfrm>
                      <a:off x="0" y="0"/>
                      <a:ext cx="5332384" cy="2632805"/>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after="240" w:line="276" w:lineRule="auto"/>
        <w:jc w:val="center"/>
        <w:rPr>
          <w:b/>
          <w:bCs/>
          <w:i/>
          <w:color w:val="000000"/>
          <w:sz w:val="22"/>
          <w:lang w:eastAsia="sk-SK"/>
        </w:rPr>
      </w:pPr>
      <w:r w:rsidRPr="00E71603">
        <w:rPr>
          <w:b/>
          <w:bCs/>
          <w:i/>
          <w:iCs/>
          <w:sz w:val="22"/>
          <w:lang w:eastAsia="sk-SK"/>
        </w:rPr>
        <w:t>Obr. 3.3  Prognóza vývoja podielu disponibilnej výroby elektriny na spotrebe elektriny SR</w:t>
      </w:r>
      <w:r w:rsidRPr="00E71603">
        <w:rPr>
          <w:b/>
          <w:bCs/>
          <w:i/>
          <w:color w:val="000000"/>
          <w:sz w:val="22"/>
          <w:lang w:eastAsia="sk-SK"/>
        </w:rPr>
        <w:t xml:space="preserve"> v %</w:t>
      </w: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t>Pre kvantifikáciu tejto problematiky bola spracovaná analýza zdrojovej dostatočnosti v zmysle metodiky hodnotenia zdrojovej dostatočnosti ENTSO-E pre zimné a letné maximum časových horizontov 2022, 2027 a 2030 v očakávanom scenári vývoja bilancie výroby a spotreby elektriny v ES SR. Výsledky sú znázornené v grafoch na obr. 3.4 a 3.5.</w:t>
      </w:r>
    </w:p>
    <w:p w:rsidR="00E71603" w:rsidRPr="00E71603" w:rsidRDefault="00E71603" w:rsidP="00E71603">
      <w:pPr>
        <w:spacing w:line="276" w:lineRule="auto"/>
        <w:jc w:val="both"/>
        <w:rPr>
          <w:rFonts w:eastAsia="Calibri"/>
          <w:sz w:val="22"/>
          <w:szCs w:val="22"/>
          <w:lang w:eastAsia="en-US"/>
        </w:rPr>
      </w:pPr>
    </w:p>
    <w:p w:rsidR="00E71603" w:rsidRPr="00E71603" w:rsidRDefault="00E71603" w:rsidP="00E71603">
      <w:pPr>
        <w:spacing w:line="276" w:lineRule="auto"/>
        <w:jc w:val="center"/>
        <w:rPr>
          <w:bCs/>
          <w:sz w:val="22"/>
          <w:szCs w:val="22"/>
          <w:lang w:eastAsia="sk-SK"/>
        </w:rPr>
      </w:pPr>
      <w:r w:rsidRPr="00E71603">
        <w:rPr>
          <w:b/>
          <w:bCs/>
          <w:iCs/>
          <w:noProof/>
          <w:sz w:val="22"/>
          <w:szCs w:val="22"/>
          <w:lang w:eastAsia="sk-SK"/>
        </w:rPr>
        <w:drawing>
          <wp:inline distT="0" distB="0" distL="0" distR="0" wp14:anchorId="7D387EF8" wp14:editId="7B6BE2A8">
            <wp:extent cx="5040000" cy="2458779"/>
            <wp:effectExtent l="0" t="0" r="8255" b="0"/>
            <wp:docPr id="64" name="Obrázo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40000" cy="2458779"/>
                    </a:xfrm>
                    <a:prstGeom prst="rect">
                      <a:avLst/>
                    </a:prstGeom>
                    <a:noFill/>
                  </pic:spPr>
                </pic:pic>
              </a:graphicData>
            </a:graphic>
          </wp:inline>
        </w:drawing>
      </w:r>
    </w:p>
    <w:p w:rsidR="00E71603" w:rsidRPr="00E71603" w:rsidRDefault="00E71603" w:rsidP="00E71603">
      <w:pPr>
        <w:autoSpaceDE w:val="0"/>
        <w:autoSpaceDN w:val="0"/>
        <w:adjustRightInd w:val="0"/>
        <w:spacing w:after="240" w:line="276" w:lineRule="auto"/>
        <w:contextualSpacing/>
        <w:jc w:val="center"/>
        <w:rPr>
          <w:rFonts w:eastAsia="Calibri"/>
          <w:b/>
          <w:i/>
          <w:iCs/>
          <w:sz w:val="22"/>
          <w:szCs w:val="22"/>
          <w:lang w:eastAsia="en-US"/>
        </w:rPr>
      </w:pPr>
      <w:r w:rsidRPr="00E71603">
        <w:rPr>
          <w:rFonts w:eastAsia="Calibri"/>
          <w:b/>
          <w:i/>
          <w:iCs/>
          <w:sz w:val="22"/>
          <w:szCs w:val="22"/>
          <w:lang w:eastAsia="en-US"/>
        </w:rPr>
        <w:t>Obr. 3.4  Zdrojová dostatočnosť ES SR v zimnom maxime rokov 2022, 2027 a 2030</w:t>
      </w:r>
    </w:p>
    <w:p w:rsidR="00E71603" w:rsidRPr="00E71603" w:rsidRDefault="00E71603" w:rsidP="00E71603">
      <w:pPr>
        <w:autoSpaceDE w:val="0"/>
        <w:autoSpaceDN w:val="0"/>
        <w:adjustRightInd w:val="0"/>
        <w:spacing w:before="120" w:after="240" w:line="276" w:lineRule="auto"/>
        <w:contextualSpacing/>
        <w:jc w:val="center"/>
        <w:rPr>
          <w:rFonts w:eastAsia="Calibri"/>
          <w:b/>
          <w:i/>
          <w:iCs/>
          <w:sz w:val="22"/>
          <w:szCs w:val="22"/>
          <w:lang w:eastAsia="en-US"/>
        </w:rPr>
      </w:pPr>
    </w:p>
    <w:p w:rsidR="00E71603" w:rsidRPr="00E71603" w:rsidRDefault="00E71603" w:rsidP="00E71603">
      <w:pPr>
        <w:autoSpaceDE w:val="0"/>
        <w:autoSpaceDN w:val="0"/>
        <w:adjustRightInd w:val="0"/>
        <w:spacing w:before="120" w:after="240" w:line="276" w:lineRule="auto"/>
        <w:contextualSpacing/>
        <w:jc w:val="center"/>
        <w:rPr>
          <w:rFonts w:eastAsia="Calibri"/>
          <w:b/>
          <w:i/>
          <w:iCs/>
          <w:sz w:val="22"/>
          <w:szCs w:val="22"/>
          <w:lang w:eastAsia="en-US"/>
        </w:rPr>
      </w:pPr>
      <w:r w:rsidRPr="00E71603">
        <w:rPr>
          <w:rFonts w:eastAsia="Calibri"/>
          <w:iCs/>
          <w:noProof/>
          <w:sz w:val="22"/>
          <w:szCs w:val="22"/>
          <w:lang w:eastAsia="sk-SK"/>
        </w:rPr>
        <w:lastRenderedPageBreak/>
        <w:drawing>
          <wp:inline distT="0" distB="0" distL="0" distR="0" wp14:anchorId="5BDE8D8D" wp14:editId="03E93BDC">
            <wp:extent cx="5040000" cy="2926852"/>
            <wp:effectExtent l="0" t="0" r="8255" b="6985"/>
            <wp:docPr id="65" name="Obrázo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2926852"/>
                    </a:xfrm>
                    <a:prstGeom prst="rect">
                      <a:avLst/>
                    </a:prstGeom>
                    <a:noFill/>
                  </pic:spPr>
                </pic:pic>
              </a:graphicData>
            </a:graphic>
          </wp:inline>
        </w:drawing>
      </w:r>
    </w:p>
    <w:p w:rsidR="00E71603" w:rsidRPr="00E71603" w:rsidRDefault="00E71603" w:rsidP="00E71603">
      <w:pPr>
        <w:spacing w:before="240" w:after="240" w:line="276" w:lineRule="auto"/>
        <w:contextualSpacing/>
        <w:jc w:val="center"/>
        <w:rPr>
          <w:rFonts w:eastAsia="Calibri"/>
          <w:b/>
          <w:i/>
          <w:sz w:val="22"/>
          <w:szCs w:val="22"/>
          <w:lang w:eastAsia="en-US"/>
        </w:rPr>
      </w:pPr>
      <w:r w:rsidRPr="00E71603">
        <w:rPr>
          <w:rFonts w:eastAsia="Calibri"/>
          <w:b/>
          <w:i/>
          <w:sz w:val="22"/>
          <w:szCs w:val="22"/>
          <w:lang w:eastAsia="en-US"/>
        </w:rPr>
        <w:t>Obr. 3.5  Zdrojová dostatočnosť ES SR v letnom maxime rokov 2022, 2027 a 2030</w:t>
      </w:r>
    </w:p>
    <w:p w:rsidR="00E71603" w:rsidRPr="00E71603" w:rsidRDefault="00E71603" w:rsidP="00E71603">
      <w:pPr>
        <w:spacing w:after="120" w:line="276" w:lineRule="auto"/>
        <w:jc w:val="both"/>
        <w:rPr>
          <w:bCs/>
          <w:sz w:val="22"/>
          <w:szCs w:val="22"/>
          <w:lang w:eastAsia="sk-SK"/>
        </w:rPr>
      </w:pPr>
      <w:r w:rsidRPr="00E71603">
        <w:rPr>
          <w:bCs/>
          <w:sz w:val="22"/>
          <w:szCs w:val="22"/>
          <w:lang w:eastAsia="sk-SK"/>
        </w:rPr>
        <w:t xml:space="preserve">Z analýzy zdrojovej dostatočnosti (podľa deterministickej metodiky ENTSO-E) vyplýva, že sústava z hľadiska zabezpečenia silovej elektriny bude v očakávanom scenári bezpečná. Disponibilná kapacita z čistého inštalovaného výkonu zdrojov elektriny (v grafoch vyznačená na zeleno), dosahuje v zimnom ako aj v letnom maxime zaťaženia sústavy v období rokov 2022, 2027 a 2030 kladné hodnoty. V prípade scenára neprevádzkovania fosílnych zdrojov elektriny ENO A, ENO B bl.1 a 2, EVO 1 </w:t>
      </w:r>
      <w:proofErr w:type="spellStart"/>
      <w:r w:rsidRPr="00E71603">
        <w:rPr>
          <w:bCs/>
          <w:sz w:val="22"/>
          <w:szCs w:val="22"/>
          <w:lang w:eastAsia="sk-SK"/>
        </w:rPr>
        <w:t>bl</w:t>
      </w:r>
      <w:proofErr w:type="spellEnd"/>
      <w:r w:rsidRPr="00E71603">
        <w:rPr>
          <w:bCs/>
          <w:sz w:val="22"/>
          <w:szCs w:val="22"/>
          <w:lang w:eastAsia="sk-SK"/>
        </w:rPr>
        <w:t>. 5 a 6 a tiež za predpokladu, že nedôjde k dokončeniu EMO 3, 4, bude v období od roku 2022 do roku 2030 chýbať v ES SR kapacita pre pokrytie očakávaného zaťaženia vo výške cca 400 až 800 MW.</w:t>
      </w:r>
    </w:p>
    <w:p w:rsidR="00E71603" w:rsidRPr="00E71603" w:rsidRDefault="00E71603" w:rsidP="00E71603">
      <w:pPr>
        <w:spacing w:after="120" w:line="276" w:lineRule="auto"/>
        <w:jc w:val="both"/>
        <w:rPr>
          <w:bCs/>
          <w:sz w:val="22"/>
          <w:szCs w:val="22"/>
          <w:lang w:eastAsia="sk-SK"/>
        </w:rPr>
      </w:pPr>
      <w:r w:rsidRPr="00E71603">
        <w:rPr>
          <w:bCs/>
          <w:sz w:val="22"/>
          <w:szCs w:val="22"/>
          <w:lang w:eastAsia="sk-SK"/>
        </w:rPr>
        <w:t xml:space="preserve">Situácia je nepriaznivá aj z pohľadu zabezpečenia systémových služieb. Z analýz dostatočnosti </w:t>
      </w:r>
      <w:proofErr w:type="spellStart"/>
      <w:r w:rsidRPr="00E71603">
        <w:rPr>
          <w:bCs/>
          <w:sz w:val="22"/>
          <w:szCs w:val="22"/>
          <w:lang w:eastAsia="sk-SK"/>
        </w:rPr>
        <w:t>PpS</w:t>
      </w:r>
      <w:proofErr w:type="spellEnd"/>
      <w:r w:rsidRPr="00E71603">
        <w:rPr>
          <w:bCs/>
          <w:sz w:val="22"/>
          <w:szCs w:val="22"/>
          <w:lang w:eastAsia="sk-SK"/>
        </w:rPr>
        <w:t xml:space="preserve"> vyplýva, že v prípade pretrvávajúceho neprevádzkovania PPC Malženice a PPC Bratislava bez adekvátnej náhrady bude situácia so zabezpečením </w:t>
      </w:r>
      <w:proofErr w:type="spellStart"/>
      <w:r w:rsidRPr="00E71603">
        <w:rPr>
          <w:bCs/>
          <w:sz w:val="22"/>
          <w:szCs w:val="22"/>
          <w:lang w:eastAsia="sk-SK"/>
        </w:rPr>
        <w:t>PpS</w:t>
      </w:r>
      <w:proofErr w:type="spellEnd"/>
      <w:r w:rsidRPr="00E71603">
        <w:rPr>
          <w:bCs/>
          <w:sz w:val="22"/>
          <w:szCs w:val="22"/>
          <w:lang w:eastAsia="sk-SK"/>
        </w:rPr>
        <w:t xml:space="preserve"> naďalej napätá a to najmä pri zabezpečovaní SRV. Pri zabezpečovaní potrebného rozsahu tejto dôležitej služby môže v sústave reálne chýbať 30 až 40 % požadovaného výkonu (v závislosti od uvažovaného zdrojového mixu SR), čo bude potrebné riešiť vhodnými opatreniami v dostatočnom časovom predstihu pre zníženie potenciálneho rizika z hľadiska zabezpečenia bezpečnej a spoľahlivej prevádzky ES SR.</w:t>
      </w:r>
    </w:p>
    <w:p w:rsidR="00E71603" w:rsidRPr="00E71603" w:rsidRDefault="00E71603" w:rsidP="00E71603">
      <w:pPr>
        <w:spacing w:after="120" w:line="276" w:lineRule="auto"/>
        <w:jc w:val="both"/>
        <w:rPr>
          <w:bCs/>
          <w:sz w:val="22"/>
          <w:szCs w:val="22"/>
          <w:lang w:eastAsia="sk-SK"/>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numPr>
          <w:ilvl w:val="0"/>
          <w:numId w:val="14"/>
        </w:numPr>
        <w:spacing w:before="240" w:after="240" w:line="276" w:lineRule="auto"/>
        <w:ind w:left="426" w:hanging="426"/>
        <w:jc w:val="both"/>
        <w:outlineLvl w:val="0"/>
        <w:rPr>
          <w:b/>
          <w:caps/>
          <w:lang w:eastAsia="en-US"/>
        </w:rPr>
      </w:pPr>
      <w:bookmarkStart w:id="16" w:name="_Toc421519897"/>
      <w:bookmarkStart w:id="17" w:name="_Toc487558007"/>
      <w:r w:rsidRPr="00E71603">
        <w:rPr>
          <w:b/>
          <w:caps/>
          <w:lang w:eastAsia="en-US"/>
        </w:rPr>
        <w:lastRenderedPageBreak/>
        <w:t>Investičné zámery prevádzkovateľa prenosovej sústavy na nasledujúcich 10 rokov</w:t>
      </w:r>
      <w:bookmarkEnd w:id="16"/>
      <w:bookmarkEnd w:id="17"/>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Rozvoj PS SR je po rozhodnutí o postupnom útlme prevádzky 220 </w:t>
      </w:r>
      <w:proofErr w:type="spellStart"/>
      <w:r w:rsidRPr="00E71603">
        <w:rPr>
          <w:sz w:val="22"/>
          <w:szCs w:val="22"/>
          <w:lang w:eastAsia="sk-SK"/>
        </w:rPr>
        <w:t>kV</w:t>
      </w:r>
      <w:proofErr w:type="spellEnd"/>
      <w:r w:rsidRPr="00E71603">
        <w:rPr>
          <w:sz w:val="22"/>
          <w:szCs w:val="22"/>
          <w:lang w:eastAsia="sk-SK"/>
        </w:rPr>
        <w:t xml:space="preserve"> sústavy zameraný z pohľadu prenosovej infraštruktúry (vedenia a transformácia PS/DS) predovšetkým na rozvoj 400 </w:t>
      </w:r>
      <w:proofErr w:type="spellStart"/>
      <w:r w:rsidRPr="00E71603">
        <w:rPr>
          <w:sz w:val="22"/>
          <w:szCs w:val="22"/>
          <w:lang w:eastAsia="sk-SK"/>
        </w:rPr>
        <w:t>kV</w:t>
      </w:r>
      <w:proofErr w:type="spellEnd"/>
      <w:r w:rsidRPr="00E71603">
        <w:rPr>
          <w:sz w:val="22"/>
          <w:szCs w:val="22"/>
          <w:lang w:eastAsia="sk-SK"/>
        </w:rPr>
        <w:t xml:space="preserve"> sústavy. Riadený útlm 220 </w:t>
      </w:r>
      <w:proofErr w:type="spellStart"/>
      <w:r w:rsidRPr="00E71603">
        <w:rPr>
          <w:sz w:val="22"/>
          <w:szCs w:val="22"/>
          <w:lang w:eastAsia="sk-SK"/>
        </w:rPr>
        <w:t>kV</w:t>
      </w:r>
      <w:proofErr w:type="spellEnd"/>
      <w:r w:rsidRPr="00E71603">
        <w:rPr>
          <w:sz w:val="22"/>
          <w:szCs w:val="22"/>
          <w:lang w:eastAsia="sk-SK"/>
        </w:rPr>
        <w:t xml:space="preserve"> PS je dlhodobý, technologicky, časovo, organizačne a finančne náročný zámer, pri ktorom je potrebné opravami zariadení PS 220 </w:t>
      </w:r>
      <w:proofErr w:type="spellStart"/>
      <w:r w:rsidRPr="00E71603">
        <w:rPr>
          <w:sz w:val="22"/>
          <w:szCs w:val="22"/>
          <w:lang w:eastAsia="sk-SK"/>
        </w:rPr>
        <w:t>kV</w:t>
      </w:r>
      <w:proofErr w:type="spellEnd"/>
      <w:r w:rsidRPr="00E71603">
        <w:rPr>
          <w:sz w:val="22"/>
          <w:szCs w:val="22"/>
          <w:lang w:eastAsia="sk-SK"/>
        </w:rPr>
        <w:t xml:space="preserve"> v nevyhnutnom rozsahu, údržbovými činnosťami, prípadne čiastočnými rekonštrukciami zabezpečiť prevádzkyschopnosť niektorých zariadení 220 </w:t>
      </w:r>
      <w:proofErr w:type="spellStart"/>
      <w:r w:rsidRPr="00E71603">
        <w:rPr>
          <w:sz w:val="22"/>
          <w:szCs w:val="22"/>
          <w:lang w:eastAsia="sk-SK"/>
        </w:rPr>
        <w:t>kV</w:t>
      </w:r>
      <w:proofErr w:type="spellEnd"/>
      <w:r w:rsidRPr="00E71603">
        <w:rPr>
          <w:sz w:val="22"/>
          <w:szCs w:val="22"/>
          <w:lang w:eastAsia="sk-SK"/>
        </w:rPr>
        <w:t xml:space="preserve"> sústavy približne do obdobia okolo roku 2025, kedy už budú na hranici svojej technickej a morálnej životnosti, alebo za ňou.</w:t>
      </w:r>
    </w:p>
    <w:p w:rsidR="00E71603" w:rsidRPr="00E71603" w:rsidRDefault="00E71603" w:rsidP="00E71603">
      <w:pPr>
        <w:spacing w:after="120" w:line="276" w:lineRule="auto"/>
        <w:jc w:val="both"/>
        <w:rPr>
          <w:sz w:val="22"/>
          <w:szCs w:val="22"/>
          <w:lang w:eastAsia="sk-SK"/>
        </w:rPr>
      </w:pPr>
      <w:r w:rsidRPr="00E71603">
        <w:rPr>
          <w:sz w:val="22"/>
          <w:szCs w:val="22"/>
          <w:lang w:eastAsia="sk-SK"/>
        </w:rPr>
        <w:t xml:space="preserve">Významný vplyv na rozvoj PS 400 </w:t>
      </w:r>
      <w:proofErr w:type="spellStart"/>
      <w:r w:rsidRPr="00E71603">
        <w:rPr>
          <w:sz w:val="22"/>
          <w:szCs w:val="22"/>
          <w:lang w:eastAsia="sk-SK"/>
        </w:rPr>
        <w:t>kV</w:t>
      </w:r>
      <w:proofErr w:type="spellEnd"/>
      <w:r w:rsidRPr="00E71603">
        <w:rPr>
          <w:sz w:val="22"/>
          <w:szCs w:val="22"/>
          <w:lang w:eastAsia="sk-SK"/>
        </w:rPr>
        <w:t xml:space="preserve"> má najmä rozvoj nových elektrárenských kapacít a ich meniaca sa štruktúra tak na území SR, ako aj na území okolitých štátov. Oba faktory majú priamy či nepriamy dopad na zaťaženie zariadení ES SR, z čoho vyplýva potreba posilňovania infraštruktúry PS SR. Okrem toho, strategický cieľ SR vo výrobe elektriny je Energetickou politikou SR nasmerovaný k exportnej bilancii SR (EMO 3,4, decentralizovaná výroba a OZE, okolo roku 2035 aj nový jadrový zdroj), čo má, resp. bude mať vplyv na zaťažovanie cezhraničných profilov exportnými tokmi. Rozširovanie a s tým spojené posilňovanie 400 </w:t>
      </w:r>
      <w:proofErr w:type="spellStart"/>
      <w:r w:rsidRPr="00E71603">
        <w:rPr>
          <w:sz w:val="22"/>
          <w:szCs w:val="22"/>
          <w:lang w:eastAsia="sk-SK"/>
        </w:rPr>
        <w:t>kV</w:t>
      </w:r>
      <w:proofErr w:type="spellEnd"/>
      <w:r w:rsidRPr="00E71603">
        <w:rPr>
          <w:sz w:val="22"/>
          <w:szCs w:val="22"/>
          <w:lang w:eastAsia="sk-SK"/>
        </w:rPr>
        <w:t xml:space="preserve"> PS, je okrem už vyššie spomenutého postupného útlmu 220 </w:t>
      </w:r>
      <w:proofErr w:type="spellStart"/>
      <w:r w:rsidRPr="00E71603">
        <w:rPr>
          <w:sz w:val="22"/>
          <w:szCs w:val="22"/>
          <w:lang w:eastAsia="sk-SK"/>
        </w:rPr>
        <w:t>kV</w:t>
      </w:r>
      <w:proofErr w:type="spellEnd"/>
      <w:r w:rsidRPr="00E71603">
        <w:rPr>
          <w:sz w:val="22"/>
          <w:szCs w:val="22"/>
          <w:lang w:eastAsia="sk-SK"/>
        </w:rPr>
        <w:t xml:space="preserve"> PS podmienené taktiež nemenej dôležitými vplyvmi, či už v podobe investičných zámerov existujúcich, ako aj potenciálne nových užívateľov 400 </w:t>
      </w:r>
      <w:proofErr w:type="spellStart"/>
      <w:r w:rsidRPr="00E71603">
        <w:rPr>
          <w:sz w:val="22"/>
          <w:szCs w:val="22"/>
          <w:lang w:eastAsia="sk-SK"/>
        </w:rPr>
        <w:t>kV</w:t>
      </w:r>
      <w:proofErr w:type="spellEnd"/>
      <w:r w:rsidRPr="00E71603">
        <w:rPr>
          <w:sz w:val="22"/>
          <w:szCs w:val="22"/>
          <w:lang w:eastAsia="sk-SK"/>
        </w:rPr>
        <w:t xml:space="preserve"> PS alebo nepriamo vplývajúcich podnetov zo strany nižších napäťových úrovní jednotlivých distribučných sústav (predovšetkým z pohľadu decentralizovanej výroby), a taktiež vonkajšími vplyvmi reprezentujúcimi napríklad tranzitné toky typicky smerujúce zo severu na juh. Prevádzkovateľ PS musí neustále na tieto vplyvy pružne reagovať, čo z pohľadu rozvojových zámerov prevádzkovateľa PS vyúsťuje k nevyhnutnému plánovaniu a realizácii ako vnútroštátnych, tak aj cezhraničných investičných projektov.</w:t>
      </w:r>
    </w:p>
    <w:p w:rsidR="00E71603" w:rsidRPr="00E71603" w:rsidRDefault="00E71603" w:rsidP="00E71603">
      <w:pPr>
        <w:keepNext/>
        <w:keepLines/>
        <w:numPr>
          <w:ilvl w:val="1"/>
          <w:numId w:val="14"/>
        </w:numPr>
        <w:spacing w:before="360" w:after="240" w:line="276" w:lineRule="auto"/>
        <w:ind w:left="426" w:hanging="426"/>
        <w:jc w:val="both"/>
        <w:outlineLvl w:val="1"/>
        <w:rPr>
          <w:b/>
          <w:sz w:val="22"/>
          <w:szCs w:val="22"/>
          <w:lang w:eastAsia="en-US"/>
        </w:rPr>
      </w:pPr>
      <w:bookmarkStart w:id="18" w:name="_Toc421519898"/>
      <w:bookmarkStart w:id="19" w:name="_Toc487558008"/>
      <w:r w:rsidRPr="00E71603">
        <w:rPr>
          <w:b/>
          <w:sz w:val="22"/>
          <w:szCs w:val="22"/>
          <w:lang w:eastAsia="en-US"/>
        </w:rPr>
        <w:t>Vnútroštátne investičné zámery PPS</w:t>
      </w:r>
      <w:bookmarkEnd w:id="18"/>
      <w:bookmarkEnd w:id="19"/>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K hlavným investičným zámerom prevádzkovateľa PS vytýčeným v minulých rokoch patrí prebiehajúca prestavba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na ich diaľkovo riadenú a </w:t>
      </w:r>
      <w:proofErr w:type="spellStart"/>
      <w:r w:rsidRPr="00E71603">
        <w:rPr>
          <w:rFonts w:eastAsia="Calibri"/>
          <w:color w:val="000000"/>
          <w:sz w:val="22"/>
          <w:szCs w:val="22"/>
          <w:lang w:eastAsia="en-US"/>
        </w:rPr>
        <w:t>bezobslužnú</w:t>
      </w:r>
      <w:proofErr w:type="spellEnd"/>
      <w:r w:rsidRPr="00E71603">
        <w:rPr>
          <w:rFonts w:eastAsia="Calibri"/>
          <w:color w:val="000000"/>
          <w:sz w:val="22"/>
          <w:szCs w:val="22"/>
          <w:lang w:eastAsia="en-US"/>
        </w:rPr>
        <w:t xml:space="preserve"> prevádzku. Pri jej realizácii sú zohľadnené požiadavky na dostatočne dlhú bezporuchovú prevádzku zariadení s minimálnymi nárokmi na vykonávanie revíznych a údržbových činností.</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Výraznými zmenami, súvisiacimi s ich prechodom z napäťovej hladiny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na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prejdú približne do roku 2023 elektrické stanice Bystričany a Senica (detailnejšie informácie sú uvedené nižšie v texte). V rámci toho bude v týchto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realizovaný aj režim diaľkového riadenia. V prípade ostatných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vo vlastníctve SEPS na napäťovej úrovni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 transformáciou 220/110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(okrem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Senica, ktorá je už v súčasnosti diaľkovo riadená), sa v týchto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 realizáciou diaľkového riadenia už neuvažuje vzhľadom na vyššie spomínaný postupný útlm a likvidáciu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PS. Vzhľadom na technický stav rozvodne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Sučany, je vo fáze prípravy realizácie jej obnova, a to s cieľom udržať spoľahlivé napájanie odberateľa OFZ, a.s. a SSE-D, a.s. Realizácia by mala byť ukončená v roku 2019, pričom už v roku 2018 by mala byť nainštalovaná nová tlmivka 90 </w:t>
      </w:r>
      <w:proofErr w:type="spellStart"/>
      <w:r w:rsidRPr="00E71603">
        <w:rPr>
          <w:rFonts w:eastAsia="Calibri"/>
          <w:color w:val="000000"/>
          <w:sz w:val="22"/>
          <w:szCs w:val="22"/>
          <w:lang w:eastAsia="en-US"/>
        </w:rPr>
        <w:t>MVAr</w:t>
      </w:r>
      <w:proofErr w:type="spellEnd"/>
      <w:r w:rsidRPr="00E71603">
        <w:rPr>
          <w:rFonts w:eastAsia="Calibri"/>
          <w:color w:val="000000"/>
          <w:sz w:val="22"/>
          <w:szCs w:val="22"/>
          <w:lang w:eastAsia="en-US"/>
        </w:rPr>
        <w:t xml:space="preserve">. </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Pokiaľ nenastanú nepredvídateľné ťažkosti pri realizácii investičného plánu SEPS, tak po roku 2030 by mali byť všetky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vo vlastníctve SEPS prevádzkované v režime diaľkového riadenia. V tejto súvislosti treba spomenúť, že v súčasnosti sa rozhoduje o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Považská Bystrica. O jej budúcnosti bude spolu s prevádzkovateľom distribučnej sústavy rozhodnuté po ukončení štúdie realizovateľnosti </w:t>
      </w:r>
      <w:r w:rsidRPr="00E71603">
        <w:rPr>
          <w:rFonts w:eastAsia="Calibri"/>
          <w:color w:val="000000"/>
          <w:sz w:val="22"/>
          <w:szCs w:val="22"/>
          <w:lang w:eastAsia="en-US"/>
        </w:rPr>
        <w:lastRenderedPageBreak/>
        <w:t xml:space="preserve">transformácie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pre lokality Považská Bystrica a Ladce, ktorá má určiť vhodnejšiu lokalitu, na ktorej bude realizovaná náhrada za transformáciu 220/110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Považská Bystrica.</w:t>
      </w:r>
    </w:p>
    <w:p w:rsidR="00E71603" w:rsidRPr="00E71603" w:rsidRDefault="00E71603" w:rsidP="00E71603">
      <w:pPr>
        <w:spacing w:line="276" w:lineRule="auto"/>
        <w:jc w:val="both"/>
        <w:rPr>
          <w:rFonts w:eastAsia="Calibri"/>
          <w:color w:val="000000"/>
          <w:sz w:val="22"/>
          <w:szCs w:val="22"/>
          <w:lang w:eastAsia="en-US"/>
        </w:rPr>
      </w:pPr>
      <w:r w:rsidRPr="00E71603">
        <w:rPr>
          <w:rFonts w:eastAsia="Calibri"/>
          <w:color w:val="000000"/>
          <w:sz w:val="22"/>
          <w:szCs w:val="22"/>
          <w:lang w:eastAsia="en-US"/>
        </w:rPr>
        <w:t xml:space="preserve">Významnou investíciou v procese postupnej náhrady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sústavy v PS SR je už spomínaný prechod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Bystričany z transformácie 220/110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na transformáciu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Prechod uvedenej transformácie je súčasťou súboru stavieb „Transformácia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Bystričany“. Tento súbor stavieb je spolufinancovaný z podporného fondu BIDSF, spravovaného Európskou bankou pre obnovu a rozvoj, ktorý je určený na zníženie dôsledkov predčasného odstavenia jadrovej elektrárne EBO V1 v Jaslovských Bohuniciach. Súčasťou tohto súboru sú nasledujúce stavby:</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rozvodňa 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Bystričany,</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vedenie 2x400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Horná Ždaňa – lokalita Oslany,</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rozvodňa 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Horná Ždaňa – rozšírenie,</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vedenie 2x400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Bystričany – Križovany,</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rozvodňa 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Križovany – rozšírenie,</w:t>
      </w:r>
    </w:p>
    <w:p w:rsidR="00E71603" w:rsidRPr="00E71603" w:rsidRDefault="00E71603" w:rsidP="00E71603">
      <w:pPr>
        <w:numPr>
          <w:ilvl w:val="0"/>
          <w:numId w:val="33"/>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transformácia 400/110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Bystričany – transformátory T401 a T402.</w:t>
      </w:r>
    </w:p>
    <w:p w:rsidR="00E71603" w:rsidRPr="00E71603" w:rsidRDefault="00E71603" w:rsidP="00E71603">
      <w:pPr>
        <w:spacing w:line="276" w:lineRule="auto"/>
        <w:jc w:val="both"/>
        <w:rPr>
          <w:rFonts w:eastAsia="Calibri"/>
          <w:color w:val="000000"/>
          <w:sz w:val="22"/>
          <w:szCs w:val="22"/>
          <w:lang w:eastAsia="en-US"/>
        </w:rPr>
      </w:pPr>
    </w:p>
    <w:p w:rsidR="00E71603" w:rsidRPr="00E71603" w:rsidRDefault="00E71603" w:rsidP="00E71603">
      <w:pPr>
        <w:spacing w:after="240" w:line="276" w:lineRule="auto"/>
        <w:jc w:val="both"/>
        <w:rPr>
          <w:rFonts w:eastAsia="Calibri"/>
          <w:iCs/>
          <w:color w:val="000000"/>
          <w:lang w:eastAsia="en-US"/>
        </w:rPr>
      </w:pPr>
      <w:r w:rsidRPr="00E71603">
        <w:rPr>
          <w:rFonts w:eastAsia="Calibri"/>
          <w:iCs/>
          <w:color w:val="000000"/>
          <w:lang w:eastAsia="en-US"/>
        </w:rPr>
        <w:t xml:space="preserve">Jeden poťah vedenia 2x400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Bystričany – Križovany bude prechodne prevádzkovaný ako 220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vedenie Bystričany – Križovany, pričom pre toto nové vedenie bude využitý koridor pôvodného 220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vedenia V274 Križovany – Bystričany. Druhý poťah tohto vedenia bude prevádzkovaný ako 400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vedenie Bystričany – Križovany a v lokalite Oslany bude prerušený a zaústený do R400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Horná Ždaňa. Ide o prechodný stav pred definitívnym ukončením prevádzky transformácie 220/110 </w:t>
      </w:r>
      <w:proofErr w:type="spellStart"/>
      <w:r w:rsidRPr="00E71603">
        <w:rPr>
          <w:rFonts w:eastAsia="Calibri"/>
          <w:iCs/>
          <w:color w:val="000000"/>
          <w:lang w:eastAsia="en-US"/>
        </w:rPr>
        <w:t>kV</w:t>
      </w:r>
      <w:proofErr w:type="spellEnd"/>
      <w:r w:rsidRPr="00E71603">
        <w:rPr>
          <w:rFonts w:eastAsia="Calibri"/>
          <w:iCs/>
          <w:color w:val="000000"/>
          <w:lang w:eastAsia="en-US"/>
        </w:rPr>
        <w:t xml:space="preserve"> v Bystričanoch, a to so zreteľom na časovo limitované čerpanie finančných prostriedkov z fondu BIDSF na tento súbor stavieb. Ukončenie celého súboru stavieb sa predpokladá v roku 2021.</w:t>
      </w:r>
    </w:p>
    <w:p w:rsidR="00E71603" w:rsidRPr="00E71603" w:rsidRDefault="00E71603" w:rsidP="00E71603">
      <w:pPr>
        <w:spacing w:line="276" w:lineRule="auto"/>
        <w:jc w:val="both"/>
        <w:rPr>
          <w:rFonts w:eastAsia="Calibri"/>
          <w:iCs/>
          <w:color w:val="000000"/>
          <w:sz w:val="22"/>
          <w:szCs w:val="22"/>
          <w:lang w:eastAsia="en-US"/>
        </w:rPr>
      </w:pPr>
      <w:r w:rsidRPr="00E71603">
        <w:rPr>
          <w:rFonts w:eastAsia="Calibri"/>
          <w:iCs/>
          <w:color w:val="000000"/>
          <w:sz w:val="22"/>
          <w:szCs w:val="22"/>
          <w:lang w:eastAsia="en-US"/>
        </w:rPr>
        <w:t xml:space="preserve">V západnej časti PS SR plánuje SEPS dva významné investičné projekty. Prvým je súbor stavieb „Transformácia 400/110 </w:t>
      </w:r>
      <w:proofErr w:type="spellStart"/>
      <w:r w:rsidRPr="00E71603">
        <w:rPr>
          <w:rFonts w:eastAsia="Calibri"/>
          <w:iCs/>
          <w:color w:val="000000"/>
          <w:sz w:val="22"/>
          <w:szCs w:val="22"/>
          <w:lang w:eastAsia="en-US"/>
        </w:rPr>
        <w:t>kV</w:t>
      </w:r>
      <w:proofErr w:type="spellEnd"/>
      <w:r w:rsidRPr="00E71603">
        <w:rPr>
          <w:rFonts w:eastAsia="Calibri"/>
          <w:iCs/>
          <w:color w:val="000000"/>
          <w:sz w:val="22"/>
          <w:szCs w:val="22"/>
          <w:lang w:eastAsia="en-US"/>
        </w:rPr>
        <w:t xml:space="preserve"> Senica“ v nasledujúcom rozsahu:</w:t>
      </w:r>
    </w:p>
    <w:p w:rsidR="00E71603" w:rsidRPr="00E71603" w:rsidRDefault="00E71603" w:rsidP="00E71603">
      <w:pPr>
        <w:numPr>
          <w:ilvl w:val="0"/>
          <w:numId w:val="34"/>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rozvodňa 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Senica – náhrada R220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na R400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w:t>
      </w:r>
    </w:p>
    <w:p w:rsidR="00E71603" w:rsidRPr="00E71603" w:rsidRDefault="00E71603" w:rsidP="00E71603">
      <w:pPr>
        <w:numPr>
          <w:ilvl w:val="0"/>
          <w:numId w:val="34"/>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transformácia 400/110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Senica,</w:t>
      </w:r>
    </w:p>
    <w:p w:rsidR="00E71603" w:rsidRPr="00E71603" w:rsidRDefault="00E71603" w:rsidP="00E71603">
      <w:pPr>
        <w:numPr>
          <w:ilvl w:val="0"/>
          <w:numId w:val="34"/>
        </w:numPr>
        <w:spacing w:after="120" w:line="276" w:lineRule="auto"/>
        <w:ind w:left="709" w:hanging="283"/>
        <w:jc w:val="both"/>
        <w:rPr>
          <w:rFonts w:eastAsia="Calibri"/>
          <w:iCs/>
          <w:color w:val="000000"/>
          <w:sz w:val="22"/>
          <w:lang w:eastAsia="en-US"/>
        </w:rPr>
      </w:pPr>
      <w:r w:rsidRPr="00E71603">
        <w:rPr>
          <w:rFonts w:eastAsia="Calibri"/>
          <w:iCs/>
          <w:color w:val="000000"/>
          <w:sz w:val="22"/>
          <w:lang w:eastAsia="en-US"/>
        </w:rPr>
        <w:t xml:space="preserve">zaslučkovanie vedenia V424 do R400 </w:t>
      </w:r>
      <w:proofErr w:type="spellStart"/>
      <w:r w:rsidRPr="00E71603">
        <w:rPr>
          <w:rFonts w:eastAsia="Calibri"/>
          <w:iCs/>
          <w:color w:val="000000"/>
          <w:sz w:val="22"/>
          <w:lang w:eastAsia="en-US"/>
        </w:rPr>
        <w:t>kV</w:t>
      </w:r>
      <w:proofErr w:type="spellEnd"/>
      <w:r w:rsidRPr="00E71603">
        <w:rPr>
          <w:rFonts w:eastAsia="Calibri"/>
          <w:iCs/>
          <w:color w:val="000000"/>
          <w:sz w:val="22"/>
          <w:lang w:eastAsia="en-US"/>
        </w:rPr>
        <w:t xml:space="preserve"> v </w:t>
      </w:r>
      <w:proofErr w:type="spellStart"/>
      <w:r w:rsidRPr="00E71603">
        <w:rPr>
          <w:rFonts w:eastAsia="Calibri"/>
          <w:iCs/>
          <w:color w:val="000000"/>
          <w:sz w:val="22"/>
          <w:lang w:eastAsia="en-US"/>
        </w:rPr>
        <w:t>ESt</w:t>
      </w:r>
      <w:proofErr w:type="spellEnd"/>
      <w:r w:rsidRPr="00E71603">
        <w:rPr>
          <w:rFonts w:eastAsia="Calibri"/>
          <w:iCs/>
          <w:color w:val="000000"/>
          <w:sz w:val="22"/>
          <w:lang w:eastAsia="en-US"/>
        </w:rPr>
        <w:t xml:space="preserve"> Senica.</w:t>
      </w:r>
    </w:p>
    <w:p w:rsidR="00E71603" w:rsidRPr="00E71603" w:rsidRDefault="00E71603" w:rsidP="00E71603">
      <w:pPr>
        <w:spacing w:line="276" w:lineRule="auto"/>
        <w:jc w:val="both"/>
        <w:rPr>
          <w:rFonts w:eastAsia="Calibri"/>
          <w:color w:val="000000"/>
          <w:sz w:val="22"/>
          <w:szCs w:val="22"/>
          <w:lang w:eastAsia="en-US"/>
        </w:rPr>
      </w:pP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Tento súbor stavieb je spojený s prechodom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Senica z existujúcej napäťovej hladiny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na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Realizácia uvedeného investičného projektu má za cieľ vyriešiť najmä problematiku zabezpečenia dlhodobého napájania uzlovej oblasti Senica, a to v koordinácii s dotknutou distribučnou spoločnosťou. Prechod na úroveň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 tejto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sa zabezpečí výstavbou novej rozvodne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 rozsahu piatich polí, zaslučkovaním existujúceho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vedenia V424 (Križovany – </w:t>
      </w:r>
      <w:proofErr w:type="spellStart"/>
      <w:r w:rsidRPr="00E71603">
        <w:rPr>
          <w:rFonts w:eastAsia="Calibri"/>
          <w:color w:val="000000"/>
          <w:sz w:val="22"/>
          <w:szCs w:val="22"/>
          <w:lang w:eastAsia="en-US"/>
        </w:rPr>
        <w:t>Sokolnice</w:t>
      </w:r>
      <w:proofErr w:type="spellEnd"/>
      <w:r w:rsidRPr="00E71603">
        <w:rPr>
          <w:rFonts w:eastAsia="Calibri"/>
          <w:color w:val="000000"/>
          <w:sz w:val="22"/>
          <w:szCs w:val="22"/>
          <w:lang w:eastAsia="en-US"/>
        </w:rPr>
        <w:t xml:space="preserve">) do novej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rozvodne a vybudovaním novej transformácie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350 MVA. Zároveň, výstavbou R400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Senica dôjde k likvidácii existujúcej R220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Senica. Uvedenie novej transformácie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Senica do prevádzky sa predpokladá v roku 2022.</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Druhým v poradí je investičný projekt „Prechod rozvodne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Podunajské Biskupice na rozvodňu nového typu“. V rámci uvedeného investičného projektu už prebiehajú súbežne dve akcie. Prvou je prechod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časti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Podunajské Biskupice z režimu diaľkového ovládania na režim </w:t>
      </w:r>
      <w:proofErr w:type="spellStart"/>
      <w:r w:rsidRPr="00E71603">
        <w:rPr>
          <w:rFonts w:eastAsia="Calibri"/>
          <w:color w:val="000000"/>
          <w:sz w:val="22"/>
          <w:szCs w:val="22"/>
          <w:lang w:eastAsia="en-US"/>
        </w:rPr>
        <w:t>bezobslužnej</w:t>
      </w:r>
      <w:proofErr w:type="spellEnd"/>
      <w:r w:rsidRPr="00E71603">
        <w:rPr>
          <w:rFonts w:eastAsia="Calibri"/>
          <w:color w:val="000000"/>
          <w:sz w:val="22"/>
          <w:szCs w:val="22"/>
          <w:lang w:eastAsia="en-US"/>
        </w:rPr>
        <w:t xml:space="preserve"> prevádzky v diaľkovom riadení. Súčasťou tejto časti investičnej akcie spojenej s prechodom na </w:t>
      </w:r>
      <w:r w:rsidRPr="00E71603">
        <w:rPr>
          <w:rFonts w:eastAsia="Calibri"/>
          <w:color w:val="000000"/>
          <w:sz w:val="22"/>
          <w:szCs w:val="22"/>
          <w:lang w:eastAsia="en-US"/>
        </w:rPr>
        <w:lastRenderedPageBreak/>
        <w:t xml:space="preserve">diaľkové riadenie je taktiež aj prechod existujúcej R400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Podunajské Biskupice na nový typ rozvodne s rúrovými </w:t>
      </w:r>
      <w:proofErr w:type="spellStart"/>
      <w:r w:rsidRPr="00E71603">
        <w:rPr>
          <w:rFonts w:eastAsia="Calibri"/>
          <w:color w:val="000000"/>
          <w:sz w:val="22"/>
          <w:szCs w:val="22"/>
          <w:lang w:eastAsia="en-US"/>
        </w:rPr>
        <w:t>prípojnicami</w:t>
      </w:r>
      <w:proofErr w:type="spellEnd"/>
      <w:r w:rsidRPr="00E71603">
        <w:rPr>
          <w:rFonts w:eastAsia="Calibri"/>
          <w:color w:val="000000"/>
          <w:sz w:val="22"/>
          <w:szCs w:val="22"/>
          <w:lang w:eastAsia="en-US"/>
        </w:rPr>
        <w:t xml:space="preserve"> a šírkou polí 18 m.</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Druhou, paralelne prebiehajúcou, časťou tohto investičného projektu (IPR) je výmena existujúceho transformátora T404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250 MVA) za nový transformátor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350 MVA vrátane vybudovania samostatného 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poľa pre pripojenie transformátora. Výmena transformátora T404 bola vyvolaná požiadavkou distribučnej spoločnosti na zvýšenie transformačného výkonu v odbernom mieste Podunajské Biskupice. Realizácia súboru stavieb by mala byť ukončená v roku 2019.</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Dôležitým investičným projektom v strednej časti PS SR je vybudovanie kompenzácie (2x45 </w:t>
      </w:r>
      <w:proofErr w:type="spellStart"/>
      <w:r w:rsidRPr="00E71603">
        <w:rPr>
          <w:rFonts w:eastAsia="Calibri"/>
          <w:color w:val="000000"/>
          <w:sz w:val="22"/>
          <w:szCs w:val="22"/>
          <w:lang w:eastAsia="en-US"/>
        </w:rPr>
        <w:t>MVAr</w:t>
      </w:r>
      <w:proofErr w:type="spellEnd"/>
      <w:r w:rsidRPr="00E71603">
        <w:rPr>
          <w:rFonts w:eastAsia="Calibri"/>
          <w:color w:val="000000"/>
          <w:sz w:val="22"/>
          <w:szCs w:val="22"/>
          <w:lang w:eastAsia="en-US"/>
        </w:rPr>
        <w:t xml:space="preserve">) v terciárnom vinutí transformátorov T401 a T402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Liptovská Mara. Tieto kompenzačné tlmivky majú efektívne znižovať vysoké napätia v severnej časti PS SR. Realizácia by mala byť ukončená v roku 2019. Ďalším významným projektom je „Výmena transformátora T401, inštalácia kompenzačných tlmiviek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Varín“. V rámci tohto IPR bude vymenený existujúci transformátor T401 za nový s menovitým výkonom 350 MVA. K jeho terciárnemu vinutiu budú v novovybudovanej terciárnej rozvodni pripojené kompenzačné tlmivky. Realizácia by mala byť ukončená v roku 2021. Ďalej bude realizovaný prechod stanice na diaľkové riadenie s predpokladaným termínom ukončenia v roku 2027. V tejto časti PS sa ešte plánuje výmena transformátorov T401 a T402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Liptovská Mara a prechod stanice na diaľkové riadenie. Realizácia by mala byť ukončená v roku 2030.</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Dôležitým zámerom z pohľadu spoľahlivosti zásobovania veľkoodberateľa elektriny, spoločnosti OFZ, a.s., ktorá je priamym odberateľom elektriny z PS, je realizácia akcie transformácia T402, 400/110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350 MVA, prechod stanice na diaľkové riadenie, nová R110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a rekonštrukcia R400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Sučany. Tento projekt umožní SEPS postupne zlikvidovať 220 </w:t>
      </w:r>
      <w:proofErr w:type="spellStart"/>
      <w:r w:rsidRPr="00E71603">
        <w:rPr>
          <w:rFonts w:eastAsia="Calibri"/>
          <w:color w:val="000000"/>
          <w:sz w:val="22"/>
          <w:szCs w:val="22"/>
          <w:lang w:eastAsia="en-US"/>
        </w:rPr>
        <w:t>kV</w:t>
      </w:r>
      <w:proofErr w:type="spellEnd"/>
      <w:r w:rsidRPr="00E71603">
        <w:rPr>
          <w:rFonts w:eastAsia="Calibri"/>
          <w:color w:val="000000"/>
          <w:sz w:val="22"/>
          <w:szCs w:val="22"/>
          <w:lang w:eastAsia="en-US"/>
        </w:rPr>
        <w:t xml:space="preserve"> vedenie V273 (vrátane súvisiacich zariadení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Lemešany) pri súčasnom dodržaní kvality a spoľahlivosti dodávok elektriny pre OFZ, a.s. Súčasťou tohto projektu bude aj posilnenie kompenzačných prostriedkov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Sučany z celkového kompenzačného výkonu 120 </w:t>
      </w:r>
      <w:proofErr w:type="spellStart"/>
      <w:r w:rsidRPr="00E71603">
        <w:rPr>
          <w:rFonts w:eastAsia="Calibri"/>
          <w:color w:val="000000"/>
          <w:sz w:val="22"/>
          <w:szCs w:val="22"/>
          <w:lang w:eastAsia="en-US"/>
        </w:rPr>
        <w:t>MVAr</w:t>
      </w:r>
      <w:proofErr w:type="spellEnd"/>
      <w:r w:rsidRPr="00E71603">
        <w:rPr>
          <w:rFonts w:eastAsia="Calibri"/>
          <w:color w:val="000000"/>
          <w:sz w:val="22"/>
          <w:szCs w:val="22"/>
          <w:lang w:eastAsia="en-US"/>
        </w:rPr>
        <w:t xml:space="preserve"> na 180 </w:t>
      </w:r>
      <w:proofErr w:type="spellStart"/>
      <w:r w:rsidRPr="00E71603">
        <w:rPr>
          <w:rFonts w:eastAsia="Calibri"/>
          <w:color w:val="000000"/>
          <w:sz w:val="22"/>
          <w:szCs w:val="22"/>
          <w:lang w:eastAsia="en-US"/>
        </w:rPr>
        <w:t>MVAr</w:t>
      </w:r>
      <w:proofErr w:type="spellEnd"/>
      <w:r w:rsidRPr="00E71603">
        <w:rPr>
          <w:rFonts w:eastAsia="Calibri"/>
          <w:color w:val="000000"/>
          <w:sz w:val="22"/>
          <w:szCs w:val="22"/>
          <w:lang w:eastAsia="en-US"/>
        </w:rPr>
        <w:t>. Realizácia by mala byť ukončená v roku 2024.</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Vo východnej časti PS SR prebieha realizácia investičného projektu „Výmena transformátorov T401, T402 a diaľkové riadenie v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Spišská Nová Ves“, v rámci ktorého sa zrealizuje prechod </w:t>
      </w:r>
      <w:proofErr w:type="spellStart"/>
      <w:r w:rsidRPr="00E71603">
        <w:rPr>
          <w:rFonts w:eastAsia="Calibri"/>
          <w:color w:val="000000"/>
          <w:sz w:val="22"/>
          <w:szCs w:val="22"/>
          <w:lang w:eastAsia="en-US"/>
        </w:rPr>
        <w:t>ESt</w:t>
      </w:r>
      <w:proofErr w:type="spellEnd"/>
      <w:r w:rsidRPr="00E71603">
        <w:rPr>
          <w:rFonts w:eastAsia="Calibri"/>
          <w:color w:val="000000"/>
          <w:sz w:val="22"/>
          <w:szCs w:val="22"/>
          <w:lang w:eastAsia="en-US"/>
        </w:rPr>
        <w:t xml:space="preserve"> na diaľkové riadenie a súčasne sa dožívajúce transformátory T401 a T402 vymenia za nové s menovitým výkonom 250 MVA. Realizácia by mala byť ukončená v roku 2019.</w:t>
      </w:r>
    </w:p>
    <w:p w:rsidR="00E71603" w:rsidRPr="00E71603" w:rsidRDefault="00E71603" w:rsidP="00E71603">
      <w:pPr>
        <w:spacing w:line="276" w:lineRule="auto"/>
        <w:jc w:val="both"/>
        <w:rPr>
          <w:rFonts w:eastAsia="Calibri"/>
          <w:color w:val="000000"/>
          <w:sz w:val="22"/>
          <w:szCs w:val="22"/>
          <w:lang w:eastAsia="en-US"/>
        </w:rPr>
      </w:pPr>
      <w:r w:rsidRPr="00E71603">
        <w:rPr>
          <w:rFonts w:eastAsia="Calibri"/>
          <w:color w:val="000000"/>
          <w:sz w:val="22"/>
          <w:szCs w:val="22"/>
          <w:lang w:eastAsia="en-US"/>
        </w:rPr>
        <w:t>V oblasti transformácie PS/DS sa do roku 2025 predpokladá doplnenie, resp. výmena fyzicky dožívajúcich transformátorov, pri ktorých sa predpokladá, že ich technický stav po uplynutí ich životnosti nedovolí ich ďalšiu bezpečnú a spoľahlivú prevádzku. Ide o nasledujúce projekty:</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T401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Moldava,</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T401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Stupava,</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T402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Podunajské Biskupice,</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T401 a T402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Liptovská Mara,</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T401 a T402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Spišská Nová Ves,</w:t>
      </w:r>
    </w:p>
    <w:p w:rsidR="00E71603" w:rsidRPr="00E71603" w:rsidRDefault="00E71603" w:rsidP="00E71603">
      <w:pPr>
        <w:numPr>
          <w:ilvl w:val="0"/>
          <w:numId w:val="35"/>
        </w:numPr>
        <w:spacing w:after="120" w:line="276" w:lineRule="auto"/>
        <w:ind w:left="709" w:hanging="283"/>
        <w:jc w:val="both"/>
        <w:rPr>
          <w:rFonts w:eastAsia="Calibri"/>
          <w:iCs/>
          <w:color w:val="000000"/>
          <w:lang w:eastAsia="en-US"/>
        </w:rPr>
      </w:pPr>
      <w:r w:rsidRPr="00E71603">
        <w:rPr>
          <w:rFonts w:eastAsia="Calibri"/>
          <w:iCs/>
          <w:color w:val="000000"/>
          <w:lang w:eastAsia="en-US"/>
        </w:rPr>
        <w:t xml:space="preserve">výmena T401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Varín,</w:t>
      </w:r>
    </w:p>
    <w:p w:rsidR="00E71603" w:rsidRPr="00E71603" w:rsidRDefault="00E71603" w:rsidP="00E71603">
      <w:pPr>
        <w:numPr>
          <w:ilvl w:val="0"/>
          <w:numId w:val="35"/>
        </w:numPr>
        <w:spacing w:after="240" w:line="276" w:lineRule="auto"/>
        <w:ind w:left="709" w:hanging="283"/>
        <w:jc w:val="both"/>
        <w:rPr>
          <w:rFonts w:eastAsia="Calibri"/>
          <w:iCs/>
          <w:color w:val="000000"/>
          <w:lang w:eastAsia="en-US"/>
        </w:rPr>
      </w:pPr>
      <w:r w:rsidRPr="00E71603">
        <w:rPr>
          <w:rFonts w:eastAsia="Calibri"/>
          <w:iCs/>
          <w:color w:val="000000"/>
          <w:lang w:eastAsia="en-US"/>
        </w:rPr>
        <w:t xml:space="preserve">výmena T401 a T403 v </w:t>
      </w:r>
      <w:proofErr w:type="spellStart"/>
      <w:r w:rsidRPr="00E71603">
        <w:rPr>
          <w:rFonts w:eastAsia="Calibri"/>
          <w:iCs/>
          <w:color w:val="000000"/>
          <w:lang w:eastAsia="en-US"/>
        </w:rPr>
        <w:t>ESt</w:t>
      </w:r>
      <w:proofErr w:type="spellEnd"/>
      <w:r w:rsidRPr="00E71603">
        <w:rPr>
          <w:rFonts w:eastAsia="Calibri"/>
          <w:iCs/>
          <w:color w:val="000000"/>
          <w:lang w:eastAsia="en-US"/>
        </w:rPr>
        <w:t xml:space="preserve"> Horná Ždaňa.</w:t>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20" w:name="_Toc421519899"/>
      <w:bookmarkStart w:id="21" w:name="_Toc487558009"/>
      <w:r w:rsidRPr="00E71603">
        <w:rPr>
          <w:b/>
          <w:szCs w:val="22"/>
          <w:lang w:eastAsia="en-US"/>
        </w:rPr>
        <w:lastRenderedPageBreak/>
        <w:t>Cezhraničné investičné zámery PPS</w:t>
      </w:r>
      <w:bookmarkEnd w:id="20"/>
      <w:bookmarkEnd w:id="21"/>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 xml:space="preserve">Prioritnými cezhraničnými projektmi, ktoré SEPS plánuje realizovať do roku 2020, sú projekty výstavby prenosových vedení do Maďarska. Ide o vedenie 2x400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Gabčíkovo (SK) – </w:t>
      </w:r>
      <w:proofErr w:type="spellStart"/>
      <w:r w:rsidRPr="00E71603">
        <w:rPr>
          <w:rFonts w:eastAsia="Calibri"/>
          <w:sz w:val="22"/>
          <w:szCs w:val="22"/>
          <w:lang w:eastAsia="en-US"/>
        </w:rPr>
        <w:t>Gönyű</w:t>
      </w:r>
      <w:proofErr w:type="spellEnd"/>
      <w:r w:rsidRPr="00E71603">
        <w:rPr>
          <w:rFonts w:eastAsia="Calibri"/>
          <w:sz w:val="22"/>
          <w:szCs w:val="22"/>
          <w:lang w:eastAsia="en-US"/>
        </w:rPr>
        <w:t xml:space="preserve"> (HU) – Veľký Ďur (SK) v trase od mesta Veľký Meder po štátnu hranicu s Maďarskom a vedenie 2x400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Rimavská Sobota (SK) – </w:t>
      </w:r>
      <w:proofErr w:type="spellStart"/>
      <w:r w:rsidRPr="00E71603">
        <w:rPr>
          <w:rFonts w:eastAsia="Calibri"/>
          <w:sz w:val="22"/>
          <w:szCs w:val="22"/>
          <w:lang w:eastAsia="en-US"/>
        </w:rPr>
        <w:t>Sajóivánka</w:t>
      </w:r>
      <w:proofErr w:type="spellEnd"/>
      <w:r w:rsidRPr="00E71603">
        <w:rPr>
          <w:rFonts w:eastAsia="Calibri"/>
          <w:sz w:val="22"/>
          <w:szCs w:val="22"/>
          <w:lang w:eastAsia="en-US"/>
        </w:rPr>
        <w:t xml:space="preserve"> (HU) vyzbrojené na strane SR jedným poťahom. V súvislosti s výstavbou uvedených cezhraničných vedení bola 1.3.2017 podpísaná zmluva o výstavbe medzi prevádzkovateľmi prenosových sústav SR a Maďarska, spoločnosťami SEPS a MAVIR. Na strane SEPS sa s finančným príspevkom z nástroja Európskej únie „Spájame Európu“ začali projekčné a inžinierske práce na získanie potrebných povolení na výstavbu oboch vedení.</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 xml:space="preserve">Na českom profile je v období rokov 2024 a 2025 naplánovaná rekonštrukcia cezhraničného vedenia V404 Varín (SK) – </w:t>
      </w:r>
      <w:proofErr w:type="spellStart"/>
      <w:r w:rsidRPr="00E71603">
        <w:rPr>
          <w:rFonts w:eastAsia="Calibri"/>
          <w:sz w:val="22"/>
          <w:szCs w:val="22"/>
          <w:lang w:eastAsia="en-US"/>
        </w:rPr>
        <w:t>Nošovice</w:t>
      </w:r>
      <w:proofErr w:type="spellEnd"/>
      <w:r w:rsidRPr="00E71603">
        <w:rPr>
          <w:rFonts w:eastAsia="Calibri"/>
          <w:sz w:val="22"/>
          <w:szCs w:val="22"/>
          <w:lang w:eastAsia="en-US"/>
        </w:rPr>
        <w:t xml:space="preserve"> (CZ). Likvidácia prenosovej sústavy na napäťovej hladine 220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sa v budúcnosti dotkne aj cezhraničných vedení 220 </w:t>
      </w:r>
      <w:proofErr w:type="spellStart"/>
      <w:r w:rsidRPr="00E71603">
        <w:rPr>
          <w:rFonts w:eastAsia="Calibri"/>
          <w:sz w:val="22"/>
          <w:szCs w:val="22"/>
          <w:lang w:eastAsia="en-US"/>
        </w:rPr>
        <w:t>kV</w:t>
      </w:r>
      <w:proofErr w:type="spellEnd"/>
      <w:r w:rsidRPr="00E71603">
        <w:rPr>
          <w:rFonts w:eastAsia="Calibri"/>
          <w:sz w:val="22"/>
          <w:szCs w:val="22"/>
          <w:lang w:eastAsia="en-US"/>
        </w:rPr>
        <w:t xml:space="preserve"> (V270 a V280). V tejto súvislosti bude v rámci rekonštrukcie na strane SEPS zvýšená prenosová schopnosť vedenia V404, čím by malo dôjsť ku kompenzácii uvedeného poklesu prenosovej kapacity na profile CZ-SK.</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Rokovania s rakúskym prevádzkovateľom PS v súčasnosti neprebiehajú, nakoľko sa ani v dlhodobom horizonte neuvažuje so vzájomným prepojením PS SR a Rakúska.</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 xml:space="preserve">Došlo tiež k obnove komunikácie s prevádzkovateľom PS na Ukrajine, spoločnosťou „NPC“ </w:t>
      </w:r>
      <w:proofErr w:type="spellStart"/>
      <w:r w:rsidRPr="00E71603">
        <w:rPr>
          <w:rFonts w:eastAsia="Calibri"/>
          <w:sz w:val="22"/>
          <w:szCs w:val="22"/>
          <w:lang w:eastAsia="en-US"/>
        </w:rPr>
        <w:t>Ukrenergo</w:t>
      </w:r>
      <w:proofErr w:type="spellEnd"/>
      <w:r w:rsidRPr="00E71603">
        <w:rPr>
          <w:rFonts w:eastAsia="Calibri"/>
          <w:sz w:val="22"/>
          <w:szCs w:val="22"/>
          <w:lang w:eastAsia="en-US"/>
        </w:rPr>
        <w:t xml:space="preserve">. V júni 2017 bolo podpísané Memorandum o porozumení o zámere oboch prevádzkovateľov posilniť existujúce cezhraničné vedenie Veľké Kapušany (SK) – </w:t>
      </w:r>
      <w:proofErr w:type="spellStart"/>
      <w:r w:rsidRPr="00E71603">
        <w:rPr>
          <w:rFonts w:eastAsia="Calibri"/>
          <w:sz w:val="22"/>
          <w:szCs w:val="22"/>
          <w:lang w:eastAsia="en-US"/>
        </w:rPr>
        <w:t>Mukačevo</w:t>
      </w:r>
      <w:proofErr w:type="spellEnd"/>
      <w:r w:rsidRPr="00E71603">
        <w:rPr>
          <w:rFonts w:eastAsia="Calibri"/>
          <w:sz w:val="22"/>
          <w:szCs w:val="22"/>
          <w:lang w:eastAsia="en-US"/>
        </w:rPr>
        <w:t xml:space="preserve"> (UA). Spolupráca medzi SEPS a „NPC“ </w:t>
      </w:r>
      <w:proofErr w:type="spellStart"/>
      <w:r w:rsidRPr="00E71603">
        <w:rPr>
          <w:rFonts w:eastAsia="Calibri"/>
          <w:sz w:val="22"/>
          <w:szCs w:val="22"/>
          <w:lang w:eastAsia="en-US"/>
        </w:rPr>
        <w:t>Ukrenergo</w:t>
      </w:r>
      <w:proofErr w:type="spellEnd"/>
      <w:r w:rsidRPr="00E71603">
        <w:rPr>
          <w:rFonts w:eastAsia="Calibri"/>
          <w:sz w:val="22"/>
          <w:szCs w:val="22"/>
          <w:lang w:eastAsia="en-US"/>
        </w:rPr>
        <w:t xml:space="preserve"> by mala byť v zmysle tohto Memoranda následne konkretizovaná formou zmluvy o spolupráci.</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SK – UA cezhraničný profil, spolu s SK – HU profilom, predstavuje často úzke miesto pre cezhraničné prenosy elektriny a spôsobuje prevádzkové problémy a problémy s riadením PS SR aj elektroenergetickému dispečingu SEPS.</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sz w:val="22"/>
          <w:szCs w:val="22"/>
          <w:lang w:eastAsia="en-US"/>
        </w:rPr>
        <w:t>Ďalšie podrobnosti o vnútroštátnych a cezhraničných investičných zámeroch prevádzkovateľa PS sú uvedené v Desaťročnom pláne rozvoja prenosovej sústavy na roky 2017 – 2026 (DPR PS 2026), ktorý je uverejnený na webovom sídle SEPS (</w:t>
      </w:r>
      <w:hyperlink r:id="rId40" w:history="1">
        <w:r w:rsidRPr="00E71603">
          <w:rPr>
            <w:rFonts w:eastAsia="Calibri"/>
            <w:color w:val="0000FF"/>
            <w:sz w:val="22"/>
            <w:szCs w:val="22"/>
            <w:u w:val="single"/>
            <w:lang w:eastAsia="en-US"/>
          </w:rPr>
          <w:t>www.sepsas.sk</w:t>
        </w:r>
      </w:hyperlink>
      <w:r w:rsidRPr="00E71603">
        <w:rPr>
          <w:rFonts w:eastAsia="Calibri"/>
          <w:sz w:val="22"/>
          <w:szCs w:val="22"/>
          <w:lang w:eastAsia="en-US"/>
        </w:rPr>
        <w:t>). Termíny realizácie jednotlivých IPR uvedené v tejto kapitole boli oproti uverejnenému DPR PS 2026 aktualizované.</w:t>
      </w:r>
    </w:p>
    <w:p w:rsidR="00E71603" w:rsidRPr="00E71603" w:rsidRDefault="00E71603" w:rsidP="00E71603">
      <w:pPr>
        <w:spacing w:after="360" w:line="276" w:lineRule="auto"/>
        <w:jc w:val="both"/>
        <w:rPr>
          <w:rFonts w:eastAsia="Calibri"/>
          <w:color w:val="000000"/>
          <w:sz w:val="22"/>
          <w:szCs w:val="22"/>
          <w:lang w:eastAsia="en-US"/>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numPr>
          <w:ilvl w:val="0"/>
          <w:numId w:val="14"/>
        </w:numPr>
        <w:spacing w:before="240" w:after="240" w:line="276" w:lineRule="auto"/>
        <w:ind w:left="426" w:hanging="426"/>
        <w:jc w:val="both"/>
        <w:outlineLvl w:val="0"/>
        <w:rPr>
          <w:b/>
          <w:caps/>
          <w:lang w:eastAsia="en-US"/>
        </w:rPr>
      </w:pPr>
      <w:bookmarkStart w:id="22" w:name="_Toc421519900"/>
      <w:bookmarkStart w:id="23" w:name="_Toc487558010"/>
      <w:r w:rsidRPr="00E71603">
        <w:rPr>
          <w:b/>
          <w:caps/>
          <w:lang w:eastAsia="en-US"/>
        </w:rPr>
        <w:lastRenderedPageBreak/>
        <w:t>Bezpečnosť a spoľahlivosť prevádzky ES SR, opatrenia na riešenie preťažení</w:t>
      </w:r>
      <w:bookmarkEnd w:id="22"/>
      <w:bookmarkEnd w:id="23"/>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Vo všetkých etapách prípravy prevádzky sa navrhujú vhodné riešenia prevádzky ES SR a vytvára sa potrebný priestor pre údržbu, inováciu a výstavbu elektroenergetických zariadení na zabezpečenie dlhodobo spoľahlivého, bezpečného a účinného prevádzkovania sústavy za hospodárnych podmienok. Pre riešenie stavov núdze, alebo na predchádzanie týchto stavov, má prevádzkovateľ PS vypracovaný plán obrany na predchádzanie vzniku závažných porúch, opatrenia pri havarijných zmenách frekvencie a napätia, ako aj plán obnovy sústavy po vzniku poruchy typu „</w:t>
      </w:r>
      <w:proofErr w:type="spellStart"/>
      <w:r w:rsidRPr="00E71603">
        <w:rPr>
          <w:rFonts w:eastAsia="Calibri"/>
          <w:sz w:val="22"/>
          <w:szCs w:val="22"/>
          <w:lang w:eastAsia="en-US"/>
        </w:rPr>
        <w:t>black-out</w:t>
      </w:r>
      <w:proofErr w:type="spellEnd"/>
      <w:r w:rsidRPr="00E71603">
        <w:rPr>
          <w:rFonts w:eastAsia="Calibri"/>
          <w:sz w:val="22"/>
          <w:szCs w:val="22"/>
          <w:lang w:eastAsia="en-US"/>
        </w:rPr>
        <w:t xml:space="preserve">“. Prevádzková bezpečnosť plní požiadavky na prenos elektriny a je kontrolovaná v každej etape prípravy prevádzky, a to ročnej, mesačnej, týždennej a dennej. Uvoľňovanie zariadení PS z prevádzky sa vykonáva v koordinácii so susednými prevádzkovateľmi PS v rámci všetkých etáp prípravy prevádzky. Základným hodnotiacim kritériom sledovaným vo všetkých etapách prípravy prevádzky je bezpečnostné kritérium N-1. </w:t>
      </w:r>
    </w:p>
    <w:p w:rsidR="00E71603" w:rsidRPr="00E71603" w:rsidRDefault="00E71603" w:rsidP="00E71603">
      <w:pPr>
        <w:autoSpaceDE w:val="0"/>
        <w:autoSpaceDN w:val="0"/>
        <w:adjustRightInd w:val="0"/>
        <w:spacing w:line="276" w:lineRule="auto"/>
        <w:jc w:val="both"/>
        <w:rPr>
          <w:rFonts w:eastAsia="Calibri"/>
          <w:color w:val="000000"/>
          <w:sz w:val="22"/>
          <w:szCs w:val="22"/>
          <w:lang w:eastAsia="en-US"/>
        </w:rPr>
      </w:pPr>
      <w:r w:rsidRPr="00E71603">
        <w:rPr>
          <w:rFonts w:eastAsia="Calibri"/>
          <w:sz w:val="22"/>
          <w:szCs w:val="22"/>
          <w:lang w:eastAsia="en-US"/>
        </w:rPr>
        <w:t>Ak dôjde v sústave pri jej prevádzke k takým zmenám, ktoré vyvolajú jej náhle preťaženie, prevádzkovateľ PS s cieľom odstrániť preťaženie v zmysle § 21 Vyhlášky ÚRSO č. 24/2013 Z. z. a tiež Vyhlášky ÚRSO č. 423/2013 Z. z.:</w:t>
      </w:r>
    </w:p>
    <w:p w:rsidR="00E71603" w:rsidRPr="00E71603" w:rsidRDefault="00E71603" w:rsidP="00E71603">
      <w:pPr>
        <w:numPr>
          <w:ilvl w:val="0"/>
          <w:numId w:val="36"/>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aktivuje nakúpené podporné služby,</w:t>
      </w:r>
    </w:p>
    <w:p w:rsidR="00E71603" w:rsidRPr="00E71603" w:rsidRDefault="00E71603" w:rsidP="00E71603">
      <w:pPr>
        <w:numPr>
          <w:ilvl w:val="0"/>
          <w:numId w:val="36"/>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využije zmluvne dohodnuté havarijné rezervy,</w:t>
      </w:r>
    </w:p>
    <w:p w:rsidR="00E71603" w:rsidRPr="00E71603" w:rsidRDefault="00E71603" w:rsidP="00E71603">
      <w:pPr>
        <w:numPr>
          <w:ilvl w:val="0"/>
          <w:numId w:val="36"/>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zmení zapojenie elektroenergetických zariadení prenosovej sústavy a distribučnej sústavy.</w:t>
      </w:r>
    </w:p>
    <w:p w:rsidR="00E71603" w:rsidRPr="00E71603" w:rsidRDefault="00E71603" w:rsidP="00E71603">
      <w:pPr>
        <w:spacing w:line="276" w:lineRule="auto"/>
        <w:jc w:val="both"/>
        <w:rPr>
          <w:rFonts w:eastAsia="Calibri"/>
          <w:color w:val="000000"/>
          <w:sz w:val="22"/>
          <w:szCs w:val="22"/>
          <w:lang w:eastAsia="en-US"/>
        </w:rPr>
      </w:pP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Na predchádzanie preťažení zariadení PS sa priebežne podľa potreby vykonáva výpočet ustáleného chodu siete s údajmi vlastnej elektrizačnej sústavy, ako aj s údajmi ostatných sústav v rámci regionálnej skupiny RG CE (</w:t>
      </w:r>
      <w:proofErr w:type="spellStart"/>
      <w:r w:rsidRPr="00E71603">
        <w:rPr>
          <w:rFonts w:eastAsia="Calibri"/>
          <w:color w:val="000000"/>
          <w:sz w:val="22"/>
          <w:szCs w:val="22"/>
          <w:lang w:eastAsia="en-US"/>
        </w:rPr>
        <w:t>Regional</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Group</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Continental</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Europe</w:t>
      </w:r>
      <w:proofErr w:type="spellEnd"/>
      <w:r w:rsidRPr="00E71603">
        <w:rPr>
          <w:rFonts w:eastAsia="Calibri"/>
          <w:color w:val="000000"/>
          <w:sz w:val="22"/>
          <w:szCs w:val="22"/>
          <w:lang w:eastAsia="en-US"/>
        </w:rPr>
        <w:t>) pod výborom pre riadenie prevádzky (</w:t>
      </w:r>
      <w:proofErr w:type="spellStart"/>
      <w:r w:rsidRPr="00E71603">
        <w:rPr>
          <w:rFonts w:eastAsia="Calibri"/>
          <w:color w:val="000000"/>
          <w:sz w:val="22"/>
          <w:szCs w:val="22"/>
          <w:lang w:eastAsia="en-US"/>
        </w:rPr>
        <w:t>System</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Operation</w:t>
      </w:r>
      <w:proofErr w:type="spellEnd"/>
      <w:r w:rsidRPr="00E71603">
        <w:rPr>
          <w:rFonts w:eastAsia="Calibri"/>
          <w:color w:val="000000"/>
          <w:sz w:val="22"/>
          <w:szCs w:val="22"/>
          <w:lang w:eastAsia="en-US"/>
        </w:rPr>
        <w:t xml:space="preserve"> </w:t>
      </w:r>
      <w:proofErr w:type="spellStart"/>
      <w:r w:rsidRPr="00E71603">
        <w:rPr>
          <w:rFonts w:eastAsia="Calibri"/>
          <w:color w:val="000000"/>
          <w:sz w:val="22"/>
          <w:szCs w:val="22"/>
          <w:lang w:eastAsia="en-US"/>
        </w:rPr>
        <w:t>Committee</w:t>
      </w:r>
      <w:proofErr w:type="spellEnd"/>
      <w:r w:rsidRPr="00E71603">
        <w:rPr>
          <w:rFonts w:eastAsia="Calibri"/>
          <w:color w:val="000000"/>
          <w:sz w:val="22"/>
          <w:szCs w:val="22"/>
          <w:lang w:eastAsia="en-US"/>
        </w:rPr>
        <w:t>) združenia európskych prevádzkovateľov prenosových sústav (ENTSO-E).</w:t>
      </w:r>
    </w:p>
    <w:p w:rsidR="00E71603" w:rsidRPr="00E71603" w:rsidRDefault="00E71603" w:rsidP="00E71603">
      <w:pPr>
        <w:spacing w:line="276" w:lineRule="auto"/>
        <w:jc w:val="both"/>
        <w:rPr>
          <w:bCs/>
          <w:sz w:val="22"/>
          <w:szCs w:val="22"/>
          <w:lang w:eastAsia="sk-SK"/>
        </w:rPr>
      </w:pPr>
      <w:r w:rsidRPr="00E71603">
        <w:rPr>
          <w:rFonts w:eastAsia="Calibri"/>
          <w:color w:val="000000"/>
          <w:sz w:val="22"/>
          <w:szCs w:val="22"/>
          <w:lang w:eastAsia="en-US"/>
        </w:rPr>
        <w:t>Otázke bezpečnosti a spoľahlivosti je venovaná zo strany prevádzkovateľa PS vysoká pozornosť. Pre jej zaistenie sú v rámci ES SR vykonávané:</w:t>
      </w:r>
    </w:p>
    <w:p w:rsidR="00E71603" w:rsidRPr="00E71603" w:rsidRDefault="00E71603" w:rsidP="00E71603">
      <w:pPr>
        <w:numPr>
          <w:ilvl w:val="0"/>
          <w:numId w:val="5"/>
        </w:numPr>
        <w:spacing w:after="60" w:line="276" w:lineRule="auto"/>
        <w:ind w:left="709" w:hanging="283"/>
        <w:jc w:val="both"/>
        <w:rPr>
          <w:rFonts w:eastAsia="Calibri"/>
          <w:sz w:val="22"/>
          <w:szCs w:val="22"/>
          <w:lang w:eastAsia="en-US"/>
        </w:rPr>
      </w:pPr>
      <w:r w:rsidRPr="00E71603">
        <w:rPr>
          <w:rFonts w:eastAsia="Calibri"/>
          <w:sz w:val="22"/>
          <w:szCs w:val="22"/>
          <w:lang w:eastAsia="en-US"/>
        </w:rPr>
        <w:t xml:space="preserve">preventívne opatrenia - analýza výsledkov výpočtov chodu siete a výpočtov skratových pomerov, nastavenie ochrán, optimalizácia vypínacieho plánu, pravidelná údržba prenosových zariadení a spracovanie opatrení na riešenie havarijných situácií. Ďalej sú to opatrenia proti šíreniu veľkých systémových porúch a opatrenia na elimináciu dôsledkov po vzniku veľkých systémových porúch (tzv. </w:t>
      </w:r>
      <w:proofErr w:type="spellStart"/>
      <w:r w:rsidRPr="00E71603">
        <w:rPr>
          <w:rFonts w:eastAsia="Calibri"/>
          <w:sz w:val="22"/>
          <w:szCs w:val="22"/>
          <w:lang w:eastAsia="en-US"/>
        </w:rPr>
        <w:t>Defence</w:t>
      </w:r>
      <w:proofErr w:type="spellEnd"/>
      <w:r w:rsidRPr="00E71603">
        <w:rPr>
          <w:rFonts w:eastAsia="Calibri"/>
          <w:sz w:val="22"/>
          <w:szCs w:val="22"/>
          <w:lang w:eastAsia="en-US"/>
        </w:rPr>
        <w:t xml:space="preserve"> </w:t>
      </w:r>
      <w:proofErr w:type="spellStart"/>
      <w:r w:rsidRPr="00E71603">
        <w:rPr>
          <w:rFonts w:eastAsia="Calibri"/>
          <w:sz w:val="22"/>
          <w:szCs w:val="22"/>
          <w:lang w:eastAsia="en-US"/>
        </w:rPr>
        <w:t>Plan</w:t>
      </w:r>
      <w:proofErr w:type="spellEnd"/>
      <w:r w:rsidRPr="00E71603">
        <w:rPr>
          <w:rFonts w:eastAsia="Calibri"/>
          <w:sz w:val="22"/>
          <w:szCs w:val="22"/>
          <w:lang w:eastAsia="en-US"/>
        </w:rPr>
        <w:t>), opatrenia v oblasti prípravy prevádzky a opatrenia v oblasti optimalizácie údržby a rozvoja PS,</w:t>
      </w:r>
    </w:p>
    <w:p w:rsidR="00E71603" w:rsidRPr="00E71603" w:rsidRDefault="00E71603" w:rsidP="00E71603">
      <w:pPr>
        <w:numPr>
          <w:ilvl w:val="0"/>
          <w:numId w:val="5"/>
        </w:numPr>
        <w:spacing w:after="60" w:line="276" w:lineRule="auto"/>
        <w:ind w:left="709" w:hanging="283"/>
        <w:jc w:val="both"/>
        <w:rPr>
          <w:rFonts w:eastAsia="Calibri"/>
          <w:sz w:val="22"/>
          <w:szCs w:val="22"/>
          <w:lang w:eastAsia="en-US"/>
        </w:rPr>
      </w:pPr>
      <w:r w:rsidRPr="00E71603">
        <w:rPr>
          <w:rFonts w:eastAsia="Calibri"/>
          <w:sz w:val="22"/>
          <w:szCs w:val="22"/>
          <w:lang w:eastAsia="en-US"/>
        </w:rPr>
        <w:t xml:space="preserve">dispečerské opatrenia - havarijná výpomoc, prerušenie prác na zariadeniach PS v koordinácii s prevádzkovateľmi distribučných sústav (PDS), využívanie </w:t>
      </w:r>
      <w:proofErr w:type="spellStart"/>
      <w:r w:rsidRPr="00E71603">
        <w:rPr>
          <w:rFonts w:eastAsia="Calibri"/>
          <w:sz w:val="22"/>
          <w:szCs w:val="22"/>
          <w:lang w:eastAsia="en-US"/>
        </w:rPr>
        <w:t>PpS</w:t>
      </w:r>
      <w:proofErr w:type="spellEnd"/>
      <w:r w:rsidRPr="00E71603">
        <w:rPr>
          <w:rFonts w:eastAsia="Calibri"/>
          <w:sz w:val="22"/>
          <w:szCs w:val="22"/>
          <w:lang w:eastAsia="en-US"/>
        </w:rPr>
        <w:t xml:space="preserve"> a systémových služieb, využitie opatrení pre riešenie havarijných situácií, </w:t>
      </w:r>
      <w:proofErr w:type="spellStart"/>
      <w:r w:rsidRPr="00E71603">
        <w:rPr>
          <w:rFonts w:eastAsia="Calibri"/>
          <w:sz w:val="22"/>
          <w:szCs w:val="22"/>
          <w:lang w:eastAsia="en-US"/>
        </w:rPr>
        <w:t>rekonfigurácia</w:t>
      </w:r>
      <w:proofErr w:type="spellEnd"/>
      <w:r w:rsidRPr="00E71603">
        <w:rPr>
          <w:rFonts w:eastAsia="Calibri"/>
          <w:sz w:val="22"/>
          <w:szCs w:val="22"/>
          <w:lang w:eastAsia="en-US"/>
        </w:rPr>
        <w:t xml:space="preserve"> PS,</w:t>
      </w:r>
    </w:p>
    <w:p w:rsidR="00E71603" w:rsidRPr="00E71603" w:rsidRDefault="00E71603" w:rsidP="00E71603">
      <w:pPr>
        <w:numPr>
          <w:ilvl w:val="0"/>
          <w:numId w:val="5"/>
        </w:numPr>
        <w:spacing w:after="120" w:line="276" w:lineRule="auto"/>
        <w:ind w:left="709" w:hanging="283"/>
        <w:jc w:val="both"/>
        <w:rPr>
          <w:rFonts w:eastAsia="Calibri"/>
          <w:sz w:val="22"/>
          <w:szCs w:val="22"/>
          <w:lang w:eastAsia="en-US"/>
        </w:rPr>
      </w:pPr>
      <w:r w:rsidRPr="00E71603">
        <w:rPr>
          <w:rFonts w:eastAsia="Calibri"/>
          <w:sz w:val="22"/>
          <w:szCs w:val="22"/>
          <w:lang w:eastAsia="en-US"/>
        </w:rPr>
        <w:t xml:space="preserve">technické opatrenia - nastavenie pôsobenia ochrán, využívanie </w:t>
      </w:r>
      <w:proofErr w:type="spellStart"/>
      <w:r w:rsidRPr="00E71603">
        <w:rPr>
          <w:rFonts w:eastAsia="Calibri"/>
          <w:sz w:val="22"/>
          <w:szCs w:val="22"/>
          <w:lang w:eastAsia="en-US"/>
        </w:rPr>
        <w:t>PpS</w:t>
      </w:r>
      <w:proofErr w:type="spellEnd"/>
      <w:r w:rsidRPr="00E71603">
        <w:rPr>
          <w:rFonts w:eastAsia="Calibri"/>
          <w:sz w:val="22"/>
          <w:szCs w:val="22"/>
          <w:lang w:eastAsia="en-US"/>
        </w:rPr>
        <w:t>, pôsobenie frekvenčných charakteristík a automatickej regulácie napätia.</w:t>
      </w: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t>Okrem spomínaných opatrení pri stave núdze a jeho odstránení sú v zmysle legislatívy stanovené obmedzujúce opatrenia:</w:t>
      </w:r>
    </w:p>
    <w:p w:rsidR="00E71603" w:rsidRPr="00E71603" w:rsidRDefault="00E71603" w:rsidP="00E71603">
      <w:pPr>
        <w:numPr>
          <w:ilvl w:val="0"/>
          <w:numId w:val="6"/>
        </w:numPr>
        <w:spacing w:after="120" w:line="276" w:lineRule="auto"/>
        <w:ind w:left="709" w:hanging="283"/>
        <w:jc w:val="both"/>
        <w:rPr>
          <w:rFonts w:eastAsia="Calibri"/>
          <w:sz w:val="22"/>
          <w:szCs w:val="22"/>
          <w:lang w:eastAsia="en-US"/>
        </w:rPr>
      </w:pPr>
      <w:r w:rsidRPr="00E71603">
        <w:rPr>
          <w:rFonts w:eastAsia="Calibri"/>
          <w:sz w:val="22"/>
          <w:szCs w:val="22"/>
          <w:lang w:eastAsia="en-US"/>
        </w:rPr>
        <w:t>plán obmedzovania spotreby,</w:t>
      </w:r>
    </w:p>
    <w:p w:rsidR="00E71603" w:rsidRPr="00E71603" w:rsidRDefault="00E71603" w:rsidP="00E71603">
      <w:pPr>
        <w:numPr>
          <w:ilvl w:val="0"/>
          <w:numId w:val="6"/>
        </w:numPr>
        <w:spacing w:after="120" w:line="276" w:lineRule="auto"/>
        <w:ind w:left="709" w:hanging="283"/>
        <w:jc w:val="both"/>
        <w:rPr>
          <w:rFonts w:eastAsia="Calibri"/>
          <w:sz w:val="22"/>
          <w:szCs w:val="22"/>
          <w:lang w:eastAsia="en-US"/>
        </w:rPr>
      </w:pPr>
      <w:r w:rsidRPr="00E71603">
        <w:rPr>
          <w:rFonts w:eastAsia="Calibri"/>
          <w:sz w:val="22"/>
          <w:szCs w:val="22"/>
          <w:lang w:eastAsia="en-US"/>
        </w:rPr>
        <w:t>havarijný vypínací plán,</w:t>
      </w:r>
    </w:p>
    <w:p w:rsidR="00E71603" w:rsidRPr="00E71603" w:rsidRDefault="00E71603" w:rsidP="00E71603">
      <w:pPr>
        <w:numPr>
          <w:ilvl w:val="0"/>
          <w:numId w:val="6"/>
        </w:numPr>
        <w:spacing w:after="120" w:line="276" w:lineRule="auto"/>
        <w:ind w:left="709" w:hanging="283"/>
        <w:jc w:val="both"/>
        <w:rPr>
          <w:rFonts w:eastAsia="Calibri"/>
          <w:sz w:val="22"/>
          <w:szCs w:val="22"/>
          <w:lang w:eastAsia="en-US"/>
        </w:rPr>
      </w:pPr>
      <w:r w:rsidRPr="00E71603">
        <w:rPr>
          <w:rFonts w:eastAsia="Calibri"/>
          <w:sz w:val="22"/>
          <w:szCs w:val="22"/>
          <w:lang w:eastAsia="en-US"/>
        </w:rPr>
        <w:t>frekvenčný vypínací plán.</w:t>
      </w:r>
    </w:p>
    <w:p w:rsidR="00E71603" w:rsidRPr="00E71603" w:rsidRDefault="00E71603" w:rsidP="00E71603">
      <w:pPr>
        <w:spacing w:after="360" w:line="276" w:lineRule="auto"/>
        <w:jc w:val="both"/>
        <w:rPr>
          <w:rFonts w:eastAsia="Calibri"/>
          <w:sz w:val="22"/>
          <w:szCs w:val="22"/>
          <w:lang w:eastAsia="en-US"/>
        </w:rPr>
      </w:pPr>
      <w:r w:rsidRPr="00E71603">
        <w:rPr>
          <w:rFonts w:eastAsia="Calibri"/>
          <w:sz w:val="22"/>
          <w:szCs w:val="22"/>
          <w:lang w:eastAsia="en-US"/>
        </w:rPr>
        <w:lastRenderedPageBreak/>
        <w:t xml:space="preserve">Elektroenergetický dispečing prevádzkovateľa PS aktualizuje každoročne plán frekvenčného odľahčovania (frekvenčný vypínací plán) v zmysle štandardov a odporúčaní RG CE ENTSO E. Automatické odľahčovanie sústavy začína pri poklese frekvencie na 49 Hz (1. stupeň). Pri poklese frekvencie pod 49 Hz dochádza k ďalšiemu vypínaniu spotreby v sústave pri jednotlivých hladinách frekvencie odstupňovaných od seba o 300 </w:t>
      </w:r>
      <w:proofErr w:type="spellStart"/>
      <w:r w:rsidRPr="00E71603">
        <w:rPr>
          <w:rFonts w:eastAsia="Calibri"/>
          <w:sz w:val="22"/>
          <w:szCs w:val="22"/>
          <w:lang w:eastAsia="en-US"/>
        </w:rPr>
        <w:t>mHz</w:t>
      </w:r>
      <w:proofErr w:type="spellEnd"/>
      <w:r w:rsidRPr="00E71603">
        <w:rPr>
          <w:rFonts w:eastAsia="Calibri"/>
          <w:sz w:val="22"/>
          <w:szCs w:val="22"/>
          <w:lang w:eastAsia="en-US"/>
        </w:rPr>
        <w:t>. Frekvenčný vypínací plán je uvedený v tabuľke tab. 5.1 a je detailne rozpracovaný v TP dokument D „Bezpečnosť a kvalita prevádzky PS, časť D4, kap. 4.1.2.“</w:t>
      </w:r>
    </w:p>
    <w:p w:rsidR="00E71603" w:rsidRPr="00E71603" w:rsidRDefault="00E71603" w:rsidP="00E71603">
      <w:pPr>
        <w:spacing w:line="276" w:lineRule="auto"/>
        <w:rPr>
          <w:rFonts w:eastAsia="Calibri"/>
          <w:bCs/>
          <w:iCs/>
          <w:sz w:val="22"/>
          <w:szCs w:val="22"/>
          <w:lang w:eastAsia="en-US"/>
        </w:rPr>
      </w:pPr>
      <w:r w:rsidRPr="00E71603">
        <w:rPr>
          <w:rFonts w:eastAsia="Calibri"/>
          <w:b/>
          <w:bCs/>
          <w:i/>
          <w:iCs/>
          <w:sz w:val="22"/>
          <w:szCs w:val="22"/>
          <w:lang w:eastAsia="en-US"/>
        </w:rPr>
        <w:t>Tab. 5.1  Frekvenčný vypínací plán na rok 2016</w:t>
      </w:r>
    </w:p>
    <w:p w:rsidR="00E71603" w:rsidRPr="00E71603" w:rsidRDefault="00E71603" w:rsidP="00E71603">
      <w:pPr>
        <w:spacing w:after="120" w:line="276" w:lineRule="auto"/>
        <w:rPr>
          <w:rFonts w:eastAsia="Calibri"/>
          <w:b/>
          <w:i/>
          <w:sz w:val="22"/>
          <w:szCs w:val="22"/>
          <w:lang w:eastAsia="en-US"/>
        </w:rPr>
      </w:pPr>
      <w:r w:rsidRPr="00E71603">
        <w:rPr>
          <w:rFonts w:eastAsia="Calibri"/>
          <w:iCs/>
          <w:noProof/>
          <w:sz w:val="22"/>
          <w:szCs w:val="22"/>
          <w:lang w:eastAsia="sk-SK"/>
        </w:rPr>
        <w:drawing>
          <wp:inline distT="0" distB="0" distL="0" distR="0" wp14:anchorId="28522D1D" wp14:editId="73996E60">
            <wp:extent cx="5040000" cy="1492271"/>
            <wp:effectExtent l="0" t="0" r="8255" b="0"/>
            <wp:docPr id="66" name="Obrázo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40000" cy="1492271"/>
                    </a:xfrm>
                    <a:prstGeom prst="rect">
                      <a:avLst/>
                    </a:prstGeom>
                    <a:noFill/>
                  </pic:spPr>
                </pic:pic>
              </a:graphicData>
            </a:graphic>
          </wp:inline>
        </w:drawing>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24" w:name="_Toc421519901"/>
      <w:bookmarkStart w:id="25" w:name="_Toc487558011"/>
      <w:r w:rsidRPr="00E71603">
        <w:rPr>
          <w:b/>
          <w:szCs w:val="22"/>
          <w:lang w:eastAsia="en-US"/>
        </w:rPr>
        <w:t>Príprava prevádzky ES</w:t>
      </w:r>
      <w:bookmarkEnd w:id="24"/>
      <w:r w:rsidRPr="00E71603">
        <w:rPr>
          <w:b/>
          <w:szCs w:val="22"/>
          <w:lang w:eastAsia="en-US"/>
        </w:rPr>
        <w:t xml:space="preserve"> SR</w:t>
      </w:r>
      <w:bookmarkEnd w:id="25"/>
    </w:p>
    <w:p w:rsidR="00E71603" w:rsidRPr="00E71603" w:rsidRDefault="00E71603" w:rsidP="00E71603">
      <w:pPr>
        <w:spacing w:before="120" w:after="120" w:line="276" w:lineRule="auto"/>
        <w:jc w:val="both"/>
        <w:rPr>
          <w:rFonts w:eastAsia="Calibri"/>
          <w:sz w:val="22"/>
          <w:szCs w:val="22"/>
          <w:lang w:eastAsia="en-US"/>
        </w:rPr>
      </w:pPr>
      <w:r w:rsidRPr="00E71603">
        <w:rPr>
          <w:rFonts w:eastAsia="Calibri"/>
          <w:sz w:val="22"/>
          <w:szCs w:val="22"/>
          <w:lang w:eastAsia="en-US"/>
        </w:rPr>
        <w:t>Cieľom prípravy prevádzky na všetkých úrovniach dispečerského riadenia je vytvoriť podmienky na bezpečnú, spoľahlivú a hospodárnu prevádzku ES SR pri rešpektovaní platnej legislatívy, Technických podmienok SEPS a PDS, záväzkov vyplývajúcich z členstva SEPS v medzinárodných organizáciách, prevádzkových zmlúv so zahraničnými prevádzkovateľmi PS, uzatvorených zmlúv medzi účastníkmi trhu s elektrinou. Elektroenergetický dispečing prevádzkovateľa PS v spolupráci s dispečingami PDS zodpovedá za koordináciu a vypracovanie jednotlivých etáp prípravy prevádzky ES SR pre optimálne riešenia prevádzky a vytvorenie potrebného časového priestoru na údržbu, inováciu a výstavbu elektroenergetických zariadení za účelom zabezpečenia dlhodobo spoľahlivej a bezpečnej prevádzky ES SR.</w:t>
      </w:r>
    </w:p>
    <w:p w:rsidR="00E71603" w:rsidRPr="00E71603" w:rsidRDefault="00E71603" w:rsidP="00E71603">
      <w:pPr>
        <w:spacing w:before="120" w:after="120" w:line="276" w:lineRule="auto"/>
        <w:jc w:val="both"/>
        <w:rPr>
          <w:rFonts w:eastAsia="Calibri"/>
          <w:sz w:val="22"/>
          <w:szCs w:val="22"/>
          <w:lang w:eastAsia="en-US"/>
        </w:rPr>
      </w:pPr>
      <w:r w:rsidRPr="00E71603">
        <w:rPr>
          <w:rFonts w:eastAsia="Calibri"/>
          <w:sz w:val="22"/>
          <w:szCs w:val="22"/>
          <w:lang w:eastAsia="en-US"/>
        </w:rPr>
        <w:t>Prevádzkovateľ elektroenergetického zariadenia a príslušný dispečing zodpovedá za prijatie opatrení zameraných na predchádzanie stavu núdze a za riešenie stavov núdze. Pre tento účel je povinný vypracovať obranné plány. Obranné plány riešia problematiku predchádzania a likvidácie závažných a systémových porúch, obsahujú plány na nasadzovanie systémových a lokálnych frekvenčných relé (f relé) na reguláciu spotreby elektriny a plány obnovy sústavy.</w:t>
      </w:r>
    </w:p>
    <w:p w:rsidR="00E71603" w:rsidRPr="00E71603" w:rsidRDefault="00E71603" w:rsidP="00E71603">
      <w:pPr>
        <w:spacing w:before="120" w:line="276" w:lineRule="auto"/>
        <w:jc w:val="both"/>
        <w:rPr>
          <w:rFonts w:eastAsia="Calibri"/>
          <w:sz w:val="22"/>
          <w:szCs w:val="22"/>
          <w:lang w:eastAsia="en-US"/>
        </w:rPr>
      </w:pPr>
      <w:r w:rsidRPr="00E71603">
        <w:rPr>
          <w:rFonts w:eastAsia="Calibri"/>
          <w:sz w:val="22"/>
          <w:szCs w:val="22"/>
          <w:lang w:eastAsia="en-US"/>
        </w:rPr>
        <w:t>Plánovanie a príprava prevádzky ES sa člení na:</w:t>
      </w:r>
    </w:p>
    <w:p w:rsidR="00E71603" w:rsidRPr="00E71603" w:rsidRDefault="00E71603" w:rsidP="00E71603">
      <w:pPr>
        <w:numPr>
          <w:ilvl w:val="0"/>
          <w:numId w:val="37"/>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plánovanie a koordináciu prevádzky silových zariadení PS,</w:t>
      </w:r>
    </w:p>
    <w:p w:rsidR="00E71603" w:rsidRPr="00E71603" w:rsidRDefault="00E71603" w:rsidP="00E71603">
      <w:pPr>
        <w:numPr>
          <w:ilvl w:val="0"/>
          <w:numId w:val="37"/>
        </w:numPr>
        <w:autoSpaceDE w:val="0"/>
        <w:autoSpaceDN w:val="0"/>
        <w:adjustRightInd w:val="0"/>
        <w:spacing w:after="6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 xml:space="preserve">prípravu prevádzky zariadení na výrobu elektriny a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w:t>
      </w:r>
    </w:p>
    <w:p w:rsidR="00E71603" w:rsidRPr="00E71603" w:rsidRDefault="00E71603" w:rsidP="00E71603">
      <w:pPr>
        <w:spacing w:before="120" w:after="120" w:line="276" w:lineRule="auto"/>
        <w:jc w:val="both"/>
        <w:rPr>
          <w:rFonts w:eastAsia="Calibri"/>
          <w:sz w:val="22"/>
          <w:szCs w:val="22"/>
          <w:lang w:eastAsia="en-US"/>
        </w:rPr>
      </w:pPr>
      <w:r w:rsidRPr="00E71603">
        <w:rPr>
          <w:rFonts w:eastAsia="Calibri"/>
          <w:sz w:val="22"/>
          <w:szCs w:val="22"/>
          <w:lang w:eastAsia="en-US"/>
        </w:rPr>
        <w:t>Elektroenergetický dispečing prevádzkovateľa PS spracováva v rozsahu svojich kompetencií daných príslušnou legislatívou prípravu prevádzky na ročnej, mesačnej, týždennej a dennej báze.</w:t>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26" w:name="_Toc421519902"/>
      <w:bookmarkStart w:id="27" w:name="_Toc487558012"/>
      <w:r w:rsidRPr="00E71603">
        <w:rPr>
          <w:b/>
          <w:szCs w:val="22"/>
          <w:lang w:eastAsia="en-US"/>
        </w:rPr>
        <w:t>Vypracovanie Plánu obrany a obnovy ES</w:t>
      </w:r>
      <w:bookmarkEnd w:id="26"/>
      <w:r w:rsidRPr="00E71603">
        <w:rPr>
          <w:b/>
          <w:szCs w:val="22"/>
          <w:lang w:eastAsia="en-US"/>
        </w:rPr>
        <w:t xml:space="preserve"> SR</w:t>
      </w:r>
      <w:bookmarkEnd w:id="27"/>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PS môže byť z hľadiska bezpečnosti, spoľahlivosti a riadenia prevádzky v normálnom a v mimoriadnom stave, ktorý sa ďalej člení na poruchový stav a na stav, kedy hrozí vyhlásenie alebo je vyhlásený stav núdze.</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lastRenderedPageBreak/>
        <w:t>Počas normálneho stavu musí prevádzkovateľ PS v stanovených časových intervaloch monitorovať aktuálny stav sústavy a musí reagovať na odchýlky hodnôt frekvencie alebo napätia, ako aj na preťaženia zariadení. Na túto reguláciu využíva zálohy zariadení na výrobu elektriny (činný a jalový výkon) a manipulácie s prenosovými zariadeniami.</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Pri poruchovom stave elektroenergetický dispečing lokalizuje poruchové miesto, zisťuje rozsah a dopady poruchového stavu na zásobovanie odberateľov, na výrobu elektriny a na cezhraničné prenosy. Rieši obnovenie dodávky a výroby elektriny a cezhraničné prenosy tak, aby prerušenie dodávky alebo výroby bolo čo najkratšie.</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Na účel stanovenia podmienok a pravidiel pre zabránenie šírenia porúch, ako aj na účel stanovenia podmienok a pravidiel pre obnovu bezpečnej a spoľahlivej prevádzky ES SR po prípadnej poruche, je pravidelne (spravidla v dvojročnom cykle) spracovávaný:</w:t>
      </w:r>
    </w:p>
    <w:p w:rsidR="00E71603" w:rsidRPr="00E71603" w:rsidRDefault="00E71603" w:rsidP="00E71603">
      <w:pPr>
        <w:numPr>
          <w:ilvl w:val="1"/>
          <w:numId w:val="38"/>
        </w:numPr>
        <w:autoSpaceDE w:val="0"/>
        <w:autoSpaceDN w:val="0"/>
        <w:adjustRightInd w:val="0"/>
        <w:spacing w:after="40" w:line="276" w:lineRule="auto"/>
        <w:ind w:left="709" w:hanging="283"/>
        <w:jc w:val="both"/>
        <w:rPr>
          <w:rFonts w:eastAsia="Calibri"/>
          <w:color w:val="000000"/>
          <w:sz w:val="22"/>
          <w:szCs w:val="22"/>
          <w:lang w:eastAsia="en-US"/>
        </w:rPr>
      </w:pPr>
      <w:r w:rsidRPr="00E71603">
        <w:rPr>
          <w:rFonts w:eastAsia="Calibri"/>
          <w:b/>
          <w:color w:val="000000"/>
          <w:sz w:val="22"/>
          <w:szCs w:val="22"/>
          <w:lang w:eastAsia="en-US"/>
        </w:rPr>
        <w:t xml:space="preserve">plán obrany - </w:t>
      </w:r>
      <w:r w:rsidRPr="00E71603">
        <w:rPr>
          <w:rFonts w:eastAsia="Calibri"/>
          <w:color w:val="000000"/>
          <w:sz w:val="22"/>
          <w:szCs w:val="22"/>
          <w:lang w:eastAsia="en-US"/>
        </w:rPr>
        <w:t xml:space="preserve">proti šíreniu veľkých systémových porúch v ES SR - súhrn všetkých technických a organizačných opatrení na zabránenie šírenia alebo zhoršovania poruchy </w:t>
      </w:r>
      <w:r w:rsidRPr="00E71603">
        <w:rPr>
          <w:rFonts w:eastAsia="Calibri"/>
          <w:sz w:val="22"/>
          <w:szCs w:val="22"/>
          <w:lang w:eastAsia="en-US"/>
        </w:rPr>
        <w:t>ES,</w:t>
      </w:r>
      <w:r w:rsidRPr="00E71603">
        <w:rPr>
          <w:rFonts w:eastAsia="Calibri"/>
          <w:color w:val="000000"/>
          <w:sz w:val="22"/>
          <w:szCs w:val="22"/>
          <w:lang w:eastAsia="en-US"/>
        </w:rPr>
        <w:t xml:space="preserve"> aby sa zabránilo jej kolapsu,</w:t>
      </w:r>
    </w:p>
    <w:p w:rsidR="00E71603" w:rsidRPr="00E71603" w:rsidRDefault="00E71603" w:rsidP="00E71603">
      <w:pPr>
        <w:numPr>
          <w:ilvl w:val="1"/>
          <w:numId w:val="38"/>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b/>
          <w:color w:val="000000"/>
          <w:sz w:val="22"/>
          <w:szCs w:val="22"/>
          <w:lang w:eastAsia="en-US"/>
        </w:rPr>
        <w:t>plán obnovy</w:t>
      </w:r>
      <w:r w:rsidRPr="00E71603">
        <w:rPr>
          <w:rFonts w:eastAsia="Calibri"/>
          <w:color w:val="000000"/>
          <w:sz w:val="22"/>
          <w:szCs w:val="22"/>
          <w:lang w:eastAsia="en-US"/>
        </w:rPr>
        <w:t xml:space="preserve"> - prevádzky ES SR po veľkom systémovom výpadku typu „</w:t>
      </w:r>
      <w:proofErr w:type="spellStart"/>
      <w:r w:rsidRPr="00E71603">
        <w:rPr>
          <w:rFonts w:eastAsia="Calibri"/>
          <w:color w:val="000000"/>
          <w:sz w:val="22"/>
          <w:szCs w:val="22"/>
          <w:lang w:eastAsia="en-US"/>
        </w:rPr>
        <w:t>black-out</w:t>
      </w:r>
      <w:proofErr w:type="spellEnd"/>
      <w:r w:rsidRPr="00E71603">
        <w:rPr>
          <w:rFonts w:eastAsia="Calibri"/>
          <w:color w:val="000000"/>
          <w:sz w:val="22"/>
          <w:szCs w:val="22"/>
          <w:lang w:eastAsia="en-US"/>
        </w:rPr>
        <w:t>“ - súhrn technicko-organizačných opatrení pre zabezpečenie uvedenia sústavy do normálneho stavu po jej úplnom alebo čiastočnom rozpade.</w:t>
      </w:r>
    </w:p>
    <w:p w:rsidR="00E71603" w:rsidRPr="00E71603" w:rsidRDefault="00E71603" w:rsidP="00E71603">
      <w:pPr>
        <w:keepNext/>
        <w:keepLines/>
        <w:numPr>
          <w:ilvl w:val="1"/>
          <w:numId w:val="14"/>
        </w:numPr>
        <w:spacing w:before="360" w:after="240" w:line="276" w:lineRule="auto"/>
        <w:ind w:left="426" w:hanging="426"/>
        <w:jc w:val="both"/>
        <w:outlineLvl w:val="1"/>
        <w:rPr>
          <w:b/>
          <w:szCs w:val="22"/>
          <w:lang w:eastAsia="en-US"/>
        </w:rPr>
      </w:pPr>
      <w:bookmarkStart w:id="28" w:name="_Toc421519903"/>
      <w:bookmarkStart w:id="29" w:name="_Toc487558013"/>
      <w:bookmarkStart w:id="30" w:name="_Toc373502340"/>
      <w:r w:rsidRPr="00E71603">
        <w:rPr>
          <w:b/>
          <w:szCs w:val="22"/>
          <w:lang w:eastAsia="en-US"/>
        </w:rPr>
        <w:t>Problematika vysokých neplánovaných tokov v PS SR</w:t>
      </w:r>
      <w:bookmarkEnd w:id="28"/>
      <w:bookmarkEnd w:id="29"/>
    </w:p>
    <w:bookmarkEnd w:id="30"/>
    <w:p w:rsidR="00E71603" w:rsidRPr="00E71603" w:rsidRDefault="00E71603" w:rsidP="00E71603">
      <w:pPr>
        <w:spacing w:line="276" w:lineRule="auto"/>
        <w:jc w:val="both"/>
        <w:rPr>
          <w:bCs/>
          <w:sz w:val="22"/>
          <w:szCs w:val="22"/>
          <w:lang w:eastAsia="sk-SK"/>
        </w:rPr>
      </w:pPr>
      <w:r w:rsidRPr="00E71603">
        <w:rPr>
          <w:bCs/>
          <w:sz w:val="22"/>
          <w:szCs w:val="22"/>
          <w:lang w:eastAsia="sk-SK"/>
        </w:rPr>
        <w:t>Prenosová sústava Slovenska je v posledných rokoch vystavená zvýšeným tranzitom elektriny, ktoré ohrozujú bezpečnosť prevádzky PS SR. Príčiny zvýšených tranzitných tokov v PS SR sú nasledovné:</w:t>
      </w:r>
    </w:p>
    <w:p w:rsidR="00E71603" w:rsidRPr="00E71603" w:rsidRDefault="00E71603" w:rsidP="00E71603">
      <w:pPr>
        <w:tabs>
          <w:tab w:val="num" w:pos="1304"/>
        </w:tabs>
        <w:overflowPunct w:val="0"/>
        <w:autoSpaceDE w:val="0"/>
        <w:autoSpaceDN w:val="0"/>
        <w:adjustRightInd w:val="0"/>
        <w:spacing w:line="276" w:lineRule="auto"/>
        <w:ind w:left="738" w:hanging="284"/>
        <w:jc w:val="both"/>
        <w:textAlignment w:val="baseline"/>
        <w:rPr>
          <w:sz w:val="22"/>
          <w:szCs w:val="22"/>
          <w:lang w:eastAsia="sk-SK"/>
        </w:rPr>
      </w:pPr>
      <w:r w:rsidRPr="00E71603">
        <w:rPr>
          <w:sz w:val="22"/>
          <w:szCs w:val="22"/>
          <w:lang w:eastAsia="sk-SK"/>
        </w:rPr>
        <w:t xml:space="preserve">obnoviteľné zdroje elektriny s veľkou fluktuáciou výroby (najmä veterné a </w:t>
      </w:r>
      <w:proofErr w:type="spellStart"/>
      <w:r w:rsidRPr="00E71603">
        <w:rPr>
          <w:sz w:val="22"/>
          <w:szCs w:val="22"/>
          <w:lang w:eastAsia="sk-SK"/>
        </w:rPr>
        <w:t>fotovoltické</w:t>
      </w:r>
      <w:proofErr w:type="spellEnd"/>
      <w:r w:rsidRPr="00E71603">
        <w:rPr>
          <w:sz w:val="22"/>
          <w:szCs w:val="22"/>
          <w:lang w:eastAsia="sk-SK"/>
        </w:rPr>
        <w:t xml:space="preserve"> elektrárne) lokalizované na severozápade Európy, ktorých výrobu je ťažko predpovedať, resp. plánovať, či regulovať,</w:t>
      </w:r>
    </w:p>
    <w:p w:rsidR="00E71603" w:rsidRPr="00E71603" w:rsidRDefault="00E71603" w:rsidP="00E71603">
      <w:pPr>
        <w:tabs>
          <w:tab w:val="num" w:pos="1304"/>
        </w:tabs>
        <w:overflowPunct w:val="0"/>
        <w:autoSpaceDE w:val="0"/>
        <w:autoSpaceDN w:val="0"/>
        <w:adjustRightInd w:val="0"/>
        <w:spacing w:line="276" w:lineRule="auto"/>
        <w:ind w:left="738" w:hanging="284"/>
        <w:jc w:val="both"/>
        <w:textAlignment w:val="baseline"/>
        <w:rPr>
          <w:sz w:val="22"/>
          <w:szCs w:val="22"/>
          <w:lang w:eastAsia="sk-SK"/>
        </w:rPr>
      </w:pPr>
      <w:r w:rsidRPr="00E71603">
        <w:rPr>
          <w:sz w:val="22"/>
          <w:szCs w:val="22"/>
          <w:lang w:eastAsia="sk-SK"/>
        </w:rPr>
        <w:t>zaostávanie rozvoja infraštruktúry PS v krajinách, kde došlo k prudkému nárastu inštalovaného výkonu OZE v posledných rokoch,</w:t>
      </w:r>
    </w:p>
    <w:p w:rsidR="00E71603" w:rsidRPr="00E71603" w:rsidRDefault="00E71603" w:rsidP="00E71603">
      <w:pPr>
        <w:tabs>
          <w:tab w:val="num" w:pos="1304"/>
        </w:tabs>
        <w:overflowPunct w:val="0"/>
        <w:autoSpaceDE w:val="0"/>
        <w:autoSpaceDN w:val="0"/>
        <w:adjustRightInd w:val="0"/>
        <w:spacing w:line="276" w:lineRule="auto"/>
        <w:ind w:left="738" w:hanging="284"/>
        <w:jc w:val="both"/>
        <w:textAlignment w:val="baseline"/>
        <w:rPr>
          <w:sz w:val="22"/>
          <w:szCs w:val="22"/>
          <w:lang w:eastAsia="sk-SK"/>
        </w:rPr>
      </w:pPr>
      <w:r w:rsidRPr="00E71603">
        <w:rPr>
          <w:sz w:val="22"/>
          <w:szCs w:val="22"/>
          <w:lang w:eastAsia="sk-SK"/>
        </w:rPr>
        <w:t>nedostatok výrobných kapacít v oblasti juhovýchodnej Európy a naopak lokalizácia nadbytku zdrojov elektriny na severozápade Európy,</w:t>
      </w:r>
    </w:p>
    <w:p w:rsidR="00E71603" w:rsidRPr="00E71603" w:rsidRDefault="00E71603" w:rsidP="00E71603">
      <w:pPr>
        <w:tabs>
          <w:tab w:val="num" w:pos="1304"/>
        </w:tabs>
        <w:overflowPunct w:val="0"/>
        <w:autoSpaceDE w:val="0"/>
        <w:autoSpaceDN w:val="0"/>
        <w:adjustRightInd w:val="0"/>
        <w:spacing w:line="276" w:lineRule="auto"/>
        <w:ind w:left="738" w:hanging="284"/>
        <w:jc w:val="both"/>
        <w:textAlignment w:val="baseline"/>
        <w:rPr>
          <w:sz w:val="22"/>
          <w:szCs w:val="22"/>
          <w:lang w:eastAsia="sk-SK"/>
        </w:rPr>
      </w:pPr>
      <w:r w:rsidRPr="00E71603">
        <w:rPr>
          <w:sz w:val="22"/>
          <w:szCs w:val="22"/>
          <w:lang w:eastAsia="sk-SK"/>
        </w:rPr>
        <w:t>zaostávanie rozvoja cezhraničných a vnútorných prepojení prenosových sústav ENTSO-E v súvislosti so zvýšenými nárokmi na prenos elektriny ako dôsledku liberalizácie trhu s elektrinou,</w:t>
      </w:r>
    </w:p>
    <w:p w:rsidR="00E71603" w:rsidRPr="00E71603" w:rsidRDefault="00E71603" w:rsidP="00E71603">
      <w:pPr>
        <w:tabs>
          <w:tab w:val="num" w:pos="1304"/>
        </w:tabs>
        <w:overflowPunct w:val="0"/>
        <w:autoSpaceDE w:val="0"/>
        <w:autoSpaceDN w:val="0"/>
        <w:adjustRightInd w:val="0"/>
        <w:spacing w:line="276" w:lineRule="auto"/>
        <w:ind w:left="738" w:hanging="284"/>
        <w:jc w:val="both"/>
        <w:textAlignment w:val="baseline"/>
        <w:rPr>
          <w:sz w:val="22"/>
          <w:szCs w:val="22"/>
          <w:lang w:eastAsia="sk-SK"/>
        </w:rPr>
      </w:pPr>
      <w:r w:rsidRPr="00E71603">
        <w:rPr>
          <w:sz w:val="22"/>
          <w:szCs w:val="22"/>
          <w:lang w:eastAsia="sk-SK"/>
        </w:rPr>
        <w:t>mechanizmy výpočtu a prideľovania cezhraničných kapacít neodrážajú reálne možnosti vnútorných PS a cezhraničných profilov.</w:t>
      </w:r>
    </w:p>
    <w:p w:rsidR="00E71603" w:rsidRPr="00E71603" w:rsidRDefault="00E71603" w:rsidP="00E71603">
      <w:pPr>
        <w:spacing w:line="276" w:lineRule="auto"/>
        <w:jc w:val="both"/>
        <w:rPr>
          <w:bCs/>
          <w:sz w:val="22"/>
          <w:szCs w:val="22"/>
          <w:lang w:eastAsia="sk-SK"/>
        </w:rPr>
      </w:pPr>
    </w:p>
    <w:p w:rsidR="00E71603" w:rsidRPr="00E71603" w:rsidRDefault="00E71603" w:rsidP="00E71603">
      <w:pPr>
        <w:spacing w:after="120" w:line="276" w:lineRule="auto"/>
        <w:jc w:val="both"/>
        <w:rPr>
          <w:bCs/>
          <w:sz w:val="22"/>
          <w:szCs w:val="22"/>
          <w:lang w:eastAsia="sk-SK"/>
        </w:rPr>
      </w:pPr>
      <w:r w:rsidRPr="00E71603">
        <w:rPr>
          <w:bCs/>
          <w:sz w:val="22"/>
          <w:szCs w:val="22"/>
          <w:lang w:eastAsia="sk-SK"/>
        </w:rPr>
        <w:t>Následkom uvedených príčin mimo územia Slovenska sú prenosy elektriny na veľké vzdialenosti (prakticky cez celú Európu) s dopadom aj na PS SR. Zvýšené tranzitné toky, resp. neplánované toky majú vplyv na bezpečnosť prevádzky sústavy vyjadrenú najmä plnením bezpečnostného kritéria N-1. Prevádzka v roku 2016 spolu s vývojom tranzitných tokov je podrobne popísaná v kapitole 1 -  Zhodnotenie roku 2016.</w:t>
      </w:r>
    </w:p>
    <w:p w:rsidR="00E71603" w:rsidRPr="00E71603" w:rsidRDefault="00E71603" w:rsidP="00E71603">
      <w:pPr>
        <w:keepNext/>
        <w:keepLines/>
        <w:numPr>
          <w:ilvl w:val="1"/>
          <w:numId w:val="14"/>
        </w:numPr>
        <w:spacing w:before="360" w:after="240" w:line="276" w:lineRule="auto"/>
        <w:jc w:val="both"/>
        <w:outlineLvl w:val="1"/>
        <w:rPr>
          <w:b/>
          <w:szCs w:val="22"/>
          <w:lang w:eastAsia="en-US"/>
        </w:rPr>
      </w:pPr>
      <w:bookmarkStart w:id="31" w:name="_Toc487558014"/>
      <w:r w:rsidRPr="00E71603">
        <w:rPr>
          <w:b/>
          <w:szCs w:val="22"/>
          <w:lang w:eastAsia="en-US"/>
        </w:rPr>
        <w:t>Nápravné opatrenia v zmysle Prevádzkovej príručky RG CE ENTSO-E</w:t>
      </w:r>
      <w:bookmarkEnd w:id="31"/>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Bezpečnosť sústavy je primárnym cieľom prevádzky prepojených sústav. V prostredí liberalizovaného trhu nemajú prevádzkovatelia PS povolené zasahovať do trhových mechanizmov, pokiaľ nie je ohrozená bezpečnosť sústavy.</w:t>
      </w:r>
    </w:p>
    <w:p w:rsidR="00E71603" w:rsidRPr="00E71603" w:rsidRDefault="00E71603" w:rsidP="00E71603">
      <w:pPr>
        <w:spacing w:line="276" w:lineRule="auto"/>
        <w:jc w:val="both"/>
        <w:rPr>
          <w:rFonts w:eastAsia="Calibri"/>
          <w:sz w:val="22"/>
          <w:szCs w:val="22"/>
          <w:lang w:eastAsia="en-US"/>
        </w:rPr>
      </w:pPr>
      <w:r w:rsidRPr="00E71603">
        <w:rPr>
          <w:rFonts w:eastAsia="Calibri"/>
          <w:sz w:val="22"/>
          <w:szCs w:val="22"/>
          <w:lang w:eastAsia="en-US"/>
        </w:rPr>
        <w:lastRenderedPageBreak/>
        <w:t>Nápravné opatrenia v zmysle Prevádzkovej príručky RG CE ENTSO-E</w:t>
      </w:r>
      <w:r w:rsidRPr="00E71603">
        <w:rPr>
          <w:rFonts w:eastAsia="Calibri"/>
          <w:sz w:val="22"/>
          <w:szCs w:val="22"/>
          <w:vertAlign w:val="superscript"/>
          <w:lang w:eastAsia="en-US"/>
        </w:rPr>
        <w:footnoteReference w:id="2"/>
      </w:r>
      <w:r w:rsidRPr="00E71603">
        <w:rPr>
          <w:rFonts w:eastAsia="Calibri"/>
          <w:sz w:val="22"/>
          <w:szCs w:val="22"/>
          <w:lang w:eastAsia="en-US"/>
        </w:rPr>
        <w:t xml:space="preserve"> sú akékoľvek opatrenia, ktoré prevádzkovateľ PS uplatní včas, aby plnil kritérium N-1. Možnosti využívania nápravných opatrení v ES SR sú nasledovné:</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zrušenie plánovaných prác na zariadeniach PS,</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proofErr w:type="spellStart"/>
      <w:r w:rsidRPr="00E71603">
        <w:rPr>
          <w:rFonts w:eastAsia="Calibri"/>
          <w:color w:val="000000"/>
          <w:sz w:val="22"/>
          <w:szCs w:val="22"/>
          <w:lang w:eastAsia="en-US"/>
        </w:rPr>
        <w:t>rekonfigurácia</w:t>
      </w:r>
      <w:proofErr w:type="spellEnd"/>
      <w:r w:rsidRPr="00E71603">
        <w:rPr>
          <w:rFonts w:eastAsia="Calibri"/>
          <w:color w:val="000000"/>
          <w:sz w:val="22"/>
          <w:szCs w:val="22"/>
          <w:lang w:eastAsia="en-US"/>
        </w:rPr>
        <w:t xml:space="preserve"> v PS SR</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vypínanie vedení v PS SR,</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proofErr w:type="spellStart"/>
      <w:r w:rsidRPr="00E71603">
        <w:rPr>
          <w:rFonts w:eastAsia="Calibri"/>
          <w:color w:val="000000"/>
          <w:sz w:val="22"/>
          <w:szCs w:val="22"/>
          <w:lang w:eastAsia="en-US"/>
        </w:rPr>
        <w:t>redispečing</w:t>
      </w:r>
      <w:proofErr w:type="spellEnd"/>
      <w:r w:rsidRPr="00E71603">
        <w:rPr>
          <w:rFonts w:eastAsia="Calibri"/>
          <w:color w:val="000000"/>
          <w:sz w:val="22"/>
          <w:szCs w:val="22"/>
          <w:lang w:eastAsia="en-US"/>
        </w:rPr>
        <w:t>,</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protiobchod,</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zníženie kapacít na cezhraničných profiloch,</w:t>
      </w:r>
    </w:p>
    <w:p w:rsidR="00E71603" w:rsidRPr="00E71603" w:rsidRDefault="00E71603" w:rsidP="00E71603">
      <w:pPr>
        <w:numPr>
          <w:ilvl w:val="0"/>
          <w:numId w:val="39"/>
        </w:num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obmedzenie spotreby (realizácia obmedzenia spotreby v ES SR je možná až po vyhlásení stavu núdze v ES SR).</w:t>
      </w:r>
    </w:p>
    <w:p w:rsidR="00E71603" w:rsidRPr="00E71603" w:rsidRDefault="00E71603" w:rsidP="00E71603">
      <w:pPr>
        <w:autoSpaceDE w:val="0"/>
        <w:autoSpaceDN w:val="0"/>
        <w:adjustRightInd w:val="0"/>
        <w:spacing w:line="276" w:lineRule="auto"/>
        <w:jc w:val="both"/>
        <w:rPr>
          <w:rFonts w:eastAsia="Calibri"/>
          <w:color w:val="000000"/>
          <w:sz w:val="22"/>
          <w:szCs w:val="22"/>
          <w:lang w:eastAsia="en-US"/>
        </w:rPr>
      </w:pPr>
    </w:p>
    <w:p w:rsidR="00E71603" w:rsidRPr="00E71603" w:rsidRDefault="00E71603" w:rsidP="00E71603">
      <w:pPr>
        <w:spacing w:after="360" w:line="276" w:lineRule="auto"/>
        <w:jc w:val="both"/>
        <w:rPr>
          <w:rFonts w:eastAsia="Calibri"/>
          <w:sz w:val="22"/>
          <w:szCs w:val="22"/>
          <w:lang w:eastAsia="en-US"/>
        </w:rPr>
      </w:pPr>
      <w:r w:rsidRPr="00E71603">
        <w:rPr>
          <w:rFonts w:eastAsia="Calibri"/>
          <w:sz w:val="22"/>
          <w:szCs w:val="22"/>
          <w:lang w:eastAsia="en-US"/>
        </w:rPr>
        <w:t>Všetky nápravné opatrenia susedných prevádzkovateľov PS, ktoré majú dopad na prevádzku PS SR, by mali byť vopred konzultované a koordinované s dispečerom elektroenergetického dispečingu prevádzkovateľa PS. Rozhodnutie dispečera elektroenergetického dispečingu prevádzkovateľa PS je vždy na posúdení momentálnej situácie v ES, dopadov na bezpečnosť prevádzky sústavy, plnení medzinárodných záväzkov a ekonomických dopadov na SEPS.</w:t>
      </w:r>
    </w:p>
    <w:p w:rsidR="00E71603" w:rsidRPr="00E71603" w:rsidRDefault="00E71603" w:rsidP="00E71603">
      <w:pPr>
        <w:spacing w:after="360" w:line="276" w:lineRule="auto"/>
        <w:jc w:val="both"/>
        <w:rPr>
          <w:rFonts w:eastAsia="Calibri"/>
          <w:sz w:val="22"/>
          <w:szCs w:val="22"/>
          <w:lang w:eastAsia="en-US"/>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numPr>
          <w:ilvl w:val="0"/>
          <w:numId w:val="14"/>
        </w:numPr>
        <w:spacing w:before="240" w:after="240" w:line="276" w:lineRule="auto"/>
        <w:ind w:left="426" w:hanging="426"/>
        <w:jc w:val="both"/>
        <w:outlineLvl w:val="0"/>
        <w:rPr>
          <w:b/>
          <w:caps/>
          <w:lang w:eastAsia="en-US"/>
        </w:rPr>
      </w:pPr>
      <w:bookmarkStart w:id="32" w:name="_Toc421519907"/>
      <w:bookmarkStart w:id="33" w:name="_Toc487558015"/>
      <w:r w:rsidRPr="00E71603">
        <w:rPr>
          <w:b/>
          <w:caps/>
          <w:lang w:eastAsia="en-US"/>
        </w:rPr>
        <w:lastRenderedPageBreak/>
        <w:t>Opatrenia na krytie špičkového dopytu a riešenie    výpadkov v ES SR</w:t>
      </w:r>
      <w:bookmarkEnd w:id="32"/>
      <w:bookmarkEnd w:id="33"/>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 xml:space="preserve">Prevádzkovateľ PS zabezpečuje systémové služby pre udržanie prevádzkyschopnosti ES, bezpečnosti, kvality a spoľahlivosti dodávky elektriny z PS, udržiavanie vyrovnanej výkonovej bilancie a obnovy synchrónnej prevádzky pri rozpade ES SR. Podporné služby potrebné pre zabezpečenie systémových služieb zabezpečuje SEPS, ako prevádzkovateľ PS, nákupom od certifikovaných poskytovateľov podporných služieb. Zabezpečenie spoľahlivej a bezpečnej prevádzky ES SR z hľadiska pokrytia diagramu zaťaženia v hodinách špičkového dopytu, alebo v prípade výpadkov zdrojov, je riešené prostredníctvom elektroenergetického dispečingu najmä aktivovaním </w:t>
      </w:r>
      <w:proofErr w:type="spellStart"/>
      <w:r w:rsidRPr="00E71603">
        <w:rPr>
          <w:rFonts w:eastAsia="Calibri"/>
          <w:sz w:val="22"/>
          <w:szCs w:val="22"/>
          <w:lang w:eastAsia="en-US"/>
        </w:rPr>
        <w:t>PpS</w:t>
      </w:r>
      <w:proofErr w:type="spellEnd"/>
      <w:r w:rsidRPr="00E71603">
        <w:rPr>
          <w:rFonts w:eastAsia="Calibri"/>
          <w:sz w:val="22"/>
          <w:szCs w:val="22"/>
          <w:lang w:eastAsia="en-US"/>
        </w:rPr>
        <w:t>, ďalej využitím havarijnej výpomoci od susedných prevádzkovateľov PS a tiež nákupom negarantovanej regulačnej elektriny.</w:t>
      </w:r>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r w:rsidRPr="00E71603">
        <w:rPr>
          <w:rFonts w:eastAsia="Calibri"/>
          <w:sz w:val="22"/>
          <w:szCs w:val="22"/>
          <w:lang w:eastAsia="en-US"/>
        </w:rPr>
        <w:t xml:space="preserve">Pri stanovení optimálneho objemu jednotlivých druhov </w:t>
      </w:r>
      <w:proofErr w:type="spellStart"/>
      <w:r w:rsidRPr="00E71603">
        <w:rPr>
          <w:rFonts w:eastAsia="Calibri"/>
          <w:sz w:val="22"/>
          <w:szCs w:val="22"/>
          <w:lang w:eastAsia="en-US"/>
        </w:rPr>
        <w:t>PpS</w:t>
      </w:r>
      <w:proofErr w:type="spellEnd"/>
      <w:r w:rsidRPr="00E71603">
        <w:rPr>
          <w:rFonts w:eastAsia="Calibri"/>
          <w:sz w:val="22"/>
          <w:szCs w:val="22"/>
          <w:lang w:eastAsia="en-US"/>
        </w:rPr>
        <w:t xml:space="preserve"> sa uplatňuje najmä kritérium spoľahlivosti, princíp časového rozvrstvenia a sezónnosti. Východiskovými údajmi sú najmä očakávané maximálne zaťaženia regulačnej oblasti pre sledovaný časový úsek podľa časového rozvrstvenia a štatistické údaje podľa sezónnosti, pod ktorú daný časový úsek spadá.</w:t>
      </w:r>
    </w:p>
    <w:p w:rsidR="00E71603" w:rsidRPr="00E71603" w:rsidRDefault="00E71603" w:rsidP="00E71603">
      <w:pPr>
        <w:autoSpaceDE w:val="0"/>
        <w:autoSpaceDN w:val="0"/>
        <w:adjustRightInd w:val="0"/>
        <w:spacing w:line="276" w:lineRule="auto"/>
        <w:jc w:val="both"/>
        <w:rPr>
          <w:rFonts w:eastAsia="Calibri"/>
          <w:color w:val="000000"/>
          <w:sz w:val="22"/>
          <w:szCs w:val="22"/>
          <w:lang w:eastAsia="en-US"/>
        </w:rPr>
      </w:pPr>
      <w:r w:rsidRPr="00E71603">
        <w:rPr>
          <w:rFonts w:eastAsia="Calibri"/>
          <w:sz w:val="22"/>
          <w:szCs w:val="22"/>
          <w:lang w:eastAsia="en-US"/>
        </w:rPr>
        <w:t xml:space="preserve">Ďalej sa pre stanovenie jednotlivých objemov </w:t>
      </w:r>
      <w:proofErr w:type="spellStart"/>
      <w:r w:rsidRPr="00E71603">
        <w:rPr>
          <w:rFonts w:eastAsia="Calibri"/>
          <w:sz w:val="22"/>
          <w:szCs w:val="22"/>
          <w:lang w:eastAsia="en-US"/>
        </w:rPr>
        <w:t>PpS</w:t>
      </w:r>
      <w:proofErr w:type="spellEnd"/>
      <w:r w:rsidRPr="00E71603">
        <w:rPr>
          <w:rFonts w:eastAsia="Calibri"/>
          <w:sz w:val="22"/>
          <w:szCs w:val="22"/>
          <w:lang w:eastAsia="en-US"/>
        </w:rPr>
        <w:t xml:space="preserve"> vychádza z nasledovných súvislostí:</w:t>
      </w:r>
    </w:p>
    <w:p w:rsidR="00E71603" w:rsidRPr="00E71603" w:rsidRDefault="00E71603" w:rsidP="00E71603">
      <w:pPr>
        <w:numPr>
          <w:ilvl w:val="0"/>
          <w:numId w:val="11"/>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záväzné štandardy Prevádzkovej príručky RG CE ENTSO-E,</w:t>
      </w:r>
    </w:p>
    <w:p w:rsidR="00E71603" w:rsidRPr="00E71603" w:rsidRDefault="00E71603" w:rsidP="00E71603">
      <w:pPr>
        <w:numPr>
          <w:ilvl w:val="0"/>
          <w:numId w:val="11"/>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spresnené predpokladané maximálne zaťaženie v príslušnom časovom období,</w:t>
      </w:r>
    </w:p>
    <w:p w:rsidR="00E71603" w:rsidRPr="00E71603" w:rsidRDefault="00E71603" w:rsidP="00E71603">
      <w:pPr>
        <w:numPr>
          <w:ilvl w:val="0"/>
          <w:numId w:val="11"/>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očakávané dynamické zmeny zaťaženia v regulačnej oblasti (ES SR),</w:t>
      </w:r>
    </w:p>
    <w:p w:rsidR="00E71603" w:rsidRPr="00E71603" w:rsidRDefault="00E71603" w:rsidP="00E71603">
      <w:pPr>
        <w:numPr>
          <w:ilvl w:val="0"/>
          <w:numId w:val="11"/>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očakávané dynamické zmeny výroby OZE v regulačnej oblasti (ES SR),</w:t>
      </w:r>
    </w:p>
    <w:p w:rsidR="00E71603" w:rsidRPr="00E71603" w:rsidRDefault="00E71603" w:rsidP="00E71603">
      <w:pPr>
        <w:numPr>
          <w:ilvl w:val="0"/>
          <w:numId w:val="11"/>
        </w:numPr>
        <w:autoSpaceDE w:val="0"/>
        <w:autoSpaceDN w:val="0"/>
        <w:adjustRightInd w:val="0"/>
        <w:spacing w:after="120" w:line="276" w:lineRule="auto"/>
        <w:ind w:left="709" w:hanging="283"/>
        <w:jc w:val="both"/>
        <w:rPr>
          <w:rFonts w:eastAsia="Calibri"/>
          <w:color w:val="000000"/>
          <w:sz w:val="22"/>
          <w:szCs w:val="22"/>
          <w:lang w:eastAsia="en-US"/>
        </w:rPr>
      </w:pPr>
      <w:r w:rsidRPr="00E71603">
        <w:rPr>
          <w:rFonts w:eastAsia="Calibri"/>
          <w:color w:val="000000"/>
          <w:sz w:val="22"/>
          <w:szCs w:val="22"/>
          <w:lang w:eastAsia="en-US"/>
        </w:rPr>
        <w:t>pravdepodobnosť výpadku jednotlivých zdrojov (ES SR).</w:t>
      </w:r>
    </w:p>
    <w:p w:rsidR="00E71603" w:rsidRPr="00E71603" w:rsidRDefault="00E71603" w:rsidP="00E71603">
      <w:pPr>
        <w:autoSpaceDE w:val="0"/>
        <w:autoSpaceDN w:val="0"/>
        <w:adjustRightInd w:val="0"/>
        <w:spacing w:line="276" w:lineRule="auto"/>
        <w:ind w:left="709"/>
        <w:rPr>
          <w:rFonts w:eastAsia="Calibri"/>
          <w:color w:val="000000"/>
          <w:sz w:val="22"/>
          <w:szCs w:val="22"/>
          <w:lang w:eastAsia="en-US"/>
        </w:rPr>
      </w:pP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Jednotlivé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sa zabezpečujú v rámci ročného, mesačného a denného výberového konania, alebo na základe priamych dlhodobých zmlúv. Na každú obchodnú hodinu je vypočítaný požadovaný objem jednotlivých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potrebný pre zabezpečenie bezpečnej prevádzky sústavy. Príprava prevádzky obsahuje zoznam nasadených výrobných zariadení, nakúpené objemy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cenu regulačnej elektriny, plánované zapojenie PS po dohode so susednými prevádzkovateľmi PS a zapojenie distribučnej sústavy po dohode s prevádzkovateľmi distribučných sústav.</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 zmysle schváleného finálneho návrhu predpisu EB GL, ktorý má nadobudnúť účinnosť koncom roka 2017, budú v rámci celej Európy zavedené nové prvky zabezpečovania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jednotnú štruktúru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a spôsob ich obstarania. Vývoj v oblasti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je bližšie popísaný v kapitole 2.3. Podporné služby.</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Po analýze rôznych technických riešení sa do aplikačnej praxe zavádzajú niektoré varianty, ktoré pokrývajú nedostatok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Realizuje sa nákup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od susedných prevádzkovateľov PS, napr. nákup PRV z iných regulačných oblastí. Prostredníctvom aktualizácie Technických Podmienok SEPS (dokument B), sa pre </w:t>
      </w:r>
      <w:proofErr w:type="spellStart"/>
      <w:r w:rsidRPr="00E71603">
        <w:rPr>
          <w:rFonts w:eastAsia="Calibri"/>
          <w:color w:val="000000"/>
          <w:sz w:val="22"/>
          <w:szCs w:val="22"/>
          <w:lang w:eastAsia="en-US"/>
        </w:rPr>
        <w:t>PpS</w:t>
      </w:r>
      <w:proofErr w:type="spellEnd"/>
      <w:r w:rsidRPr="00E71603">
        <w:rPr>
          <w:rFonts w:eastAsia="Calibri"/>
          <w:color w:val="000000"/>
          <w:sz w:val="22"/>
          <w:szCs w:val="22"/>
          <w:lang w:eastAsia="en-US"/>
        </w:rPr>
        <w:t xml:space="preserve"> typu SRV otvorila možnosť ich poskytovania prostredníctvom virtuálnych elektrární.</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Cezhraničné prenosy na účely dovozu a vývozu elektriny na úrovni prenosovej sústavy v rámci medzinárodnej energetickej spolupráce sa riadia dvoj a viacstrannými zmluvami medzi jednotlivými prevádzkovateľmi PS a ich oprávnenými subjektmi. V prípade ohrozenia prevádzkovej bezpečnosti sústavy môže dispečer využiť nákup havarijnej negarantovanej regulačnej elektriny zo zahraničia. V prípade havarijnej výpomoci zo susednej regulačnej oblasti sa nákup regulačnej elektriny uskutočňuje podľa zásad uvedených v zmluve o poskytnutí havarijnej výpomoci s príslušným susedným prevádzkovateľom PS.</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lastRenderedPageBreak/>
        <w:t xml:space="preserve">Operatívne riadenie cezhraničných prenosov na účel dovozu a vývozu elektriny v rámci platných zmlúv a dohôd medzi SEPS a susednými prevádzkovateľmi PS, technické plnenie týchto zmlúv a dohôd a </w:t>
      </w:r>
      <w:proofErr w:type="spellStart"/>
      <w:r w:rsidRPr="00E71603">
        <w:rPr>
          <w:rFonts w:eastAsia="Calibri"/>
          <w:color w:val="000000"/>
          <w:sz w:val="22"/>
          <w:szCs w:val="22"/>
          <w:lang w:eastAsia="en-US"/>
        </w:rPr>
        <w:t>vnútrodenné</w:t>
      </w:r>
      <w:proofErr w:type="spellEnd"/>
      <w:r w:rsidRPr="00E71603">
        <w:rPr>
          <w:rFonts w:eastAsia="Calibri"/>
          <w:color w:val="000000"/>
          <w:sz w:val="22"/>
          <w:szCs w:val="22"/>
          <w:lang w:eastAsia="en-US"/>
        </w:rPr>
        <w:t xml:space="preserve"> zmeny prenosov na spojovacích vedeniach sú zabezpečované prostredníctvom SED.</w:t>
      </w:r>
    </w:p>
    <w:p w:rsidR="00E71603" w:rsidRPr="00E71603" w:rsidRDefault="00E71603" w:rsidP="00E71603">
      <w:pPr>
        <w:spacing w:after="120" w:line="276" w:lineRule="auto"/>
        <w:jc w:val="both"/>
        <w:rPr>
          <w:rFonts w:eastAsia="Calibri"/>
          <w:color w:val="000000"/>
          <w:sz w:val="22"/>
          <w:szCs w:val="22"/>
          <w:lang w:eastAsia="en-US"/>
        </w:rPr>
      </w:pPr>
      <w:r w:rsidRPr="00E71603">
        <w:rPr>
          <w:rFonts w:eastAsia="Calibri"/>
          <w:color w:val="000000"/>
          <w:sz w:val="22"/>
          <w:szCs w:val="22"/>
          <w:lang w:eastAsia="en-US"/>
        </w:rPr>
        <w:t>Všetky postupy pre riadenie cezhraničných prenosov, koordináciu vypínacích plánov spojovacích vedení, určovanie kapacít na spojovacích vedeniach, kontrolu a riadenie preťaženia sú v súlade s Prevádzkovou príručkou RG CE ENTSO-E, Technickými podmienkami a Prevádzkovým poriadkom prevádzkovateľa PS. Prideľovanie prenosových kapacít na spojovacích vedeniach sa určuje na základe výpočtov prenosových kapacít so susediacimi prevádzkovateľmi PS a následného vzájomného odsúhlasenia, pričom platí menšia hodnota. Hodnoty prenosových kapacít sa určujú pre ročnú, mesačnú a dennú prípravu prevádzky. Prideľovanie kapacít sa vykonáva na základe bilaterálnych a multilaterálnych dohôd medzi prevádzkovateľmi PS. V prípade vypnutia prenosových prvkov sa určený objem cezhraničnej prenosovej kapacity prispôsobuje technickým podmienkam v sústave. Proces prideľovania prenosových kapacít je popísaný v kapitole 2.4 Alokácia prenosových kapacít na cezhraničných profiloch PS SR.</w:t>
      </w:r>
    </w:p>
    <w:p w:rsidR="00E71603" w:rsidRPr="00E71603" w:rsidRDefault="00E71603" w:rsidP="00E71603">
      <w:pPr>
        <w:spacing w:after="360" w:line="276" w:lineRule="auto"/>
        <w:jc w:val="both"/>
        <w:rPr>
          <w:rFonts w:eastAsia="Calibri"/>
          <w:color w:val="000000"/>
          <w:sz w:val="22"/>
          <w:szCs w:val="22"/>
          <w:lang w:eastAsia="en-US"/>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numPr>
          <w:ilvl w:val="0"/>
          <w:numId w:val="14"/>
        </w:numPr>
        <w:spacing w:before="240" w:after="240" w:line="276" w:lineRule="auto"/>
        <w:ind w:left="426" w:hanging="426"/>
        <w:jc w:val="both"/>
        <w:outlineLvl w:val="0"/>
        <w:rPr>
          <w:b/>
          <w:caps/>
          <w:lang w:eastAsia="en-US"/>
        </w:rPr>
      </w:pPr>
      <w:bookmarkStart w:id="34" w:name="_Toc487558016"/>
      <w:r w:rsidRPr="00E71603">
        <w:rPr>
          <w:b/>
          <w:caps/>
          <w:lang w:eastAsia="en-US"/>
        </w:rPr>
        <w:lastRenderedPageBreak/>
        <w:t>Kvalita a úroveň údržby prenosovej sústavy</w:t>
      </w:r>
      <w:bookmarkEnd w:id="34"/>
    </w:p>
    <w:p w:rsidR="00E71603" w:rsidRPr="00E71603" w:rsidRDefault="00E71603" w:rsidP="00E71603">
      <w:pPr>
        <w:autoSpaceDE w:val="0"/>
        <w:autoSpaceDN w:val="0"/>
        <w:adjustRightInd w:val="0"/>
        <w:spacing w:after="120" w:line="276" w:lineRule="auto"/>
        <w:jc w:val="both"/>
        <w:rPr>
          <w:rFonts w:eastAsia="Calibri"/>
          <w:sz w:val="22"/>
          <w:szCs w:val="22"/>
          <w:lang w:eastAsia="en-US"/>
        </w:rPr>
      </w:pPr>
      <w:bookmarkStart w:id="35" w:name="_Toc421519909"/>
      <w:r w:rsidRPr="00E71603">
        <w:rPr>
          <w:rFonts w:eastAsia="Calibri"/>
          <w:sz w:val="22"/>
          <w:szCs w:val="22"/>
          <w:lang w:eastAsia="en-US"/>
        </w:rPr>
        <w:t>Vyhodnotenie štandardov kvality SEPS za rok 2016 v zmysle §11 Vyhlášky ÚRSO č. 236/2016 Z. z. je zverejnené na webovom sídle prevádzkovateľa PS SR (ďalej len „Vyhodnotenie štandardov kvality SEPS“).</w:t>
      </w:r>
    </w:p>
    <w:p w:rsidR="00E71603" w:rsidRPr="00E71603" w:rsidRDefault="00E71603" w:rsidP="00E71603">
      <w:pPr>
        <w:keepNext/>
        <w:keepLines/>
        <w:numPr>
          <w:ilvl w:val="1"/>
          <w:numId w:val="14"/>
        </w:numPr>
        <w:spacing w:before="360" w:after="240" w:line="276" w:lineRule="auto"/>
        <w:ind w:left="426" w:hanging="426"/>
        <w:contextualSpacing/>
        <w:jc w:val="both"/>
        <w:outlineLvl w:val="1"/>
        <w:rPr>
          <w:b/>
          <w:szCs w:val="22"/>
          <w:lang w:eastAsia="en-US"/>
        </w:rPr>
      </w:pPr>
      <w:bookmarkStart w:id="36" w:name="_Toc487558017"/>
      <w:r w:rsidRPr="00E71603">
        <w:rPr>
          <w:b/>
          <w:szCs w:val="22"/>
          <w:lang w:eastAsia="en-US"/>
        </w:rPr>
        <w:t>Poruchovosť a štandardy kvality prenosu</w:t>
      </w:r>
      <w:bookmarkEnd w:id="35"/>
      <w:bookmarkEnd w:id="36"/>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 xml:space="preserve">V roku 2016 bolo na zariadeniach prevádzkovateľa PS zaevidovaných celkom 11 poruchových vypnutí. Z toho 9 typu E1 - bez poškodenia zariadenia a 2 poruchy typu E2 - s poškodením zariadenia. Pri všetkých poruchách došlo k obmedzeniu dodávky elektrickej energie zo strany prevádzkovateľa PS vo výške 616,20 </w:t>
      </w:r>
      <w:proofErr w:type="spellStart"/>
      <w:r w:rsidRPr="00E71603">
        <w:rPr>
          <w:rFonts w:eastAsia="Calibri"/>
          <w:color w:val="000000"/>
          <w:sz w:val="22"/>
          <w:szCs w:val="22"/>
          <w:lang w:eastAsia="en-US"/>
        </w:rPr>
        <w:t>MWh</w:t>
      </w:r>
      <w:proofErr w:type="spellEnd"/>
      <w:r w:rsidRPr="00E71603">
        <w:rPr>
          <w:rFonts w:eastAsia="Calibri"/>
          <w:color w:val="000000"/>
          <w:sz w:val="22"/>
          <w:szCs w:val="22"/>
          <w:lang w:eastAsia="en-US"/>
        </w:rPr>
        <w:t>.</w:t>
      </w:r>
    </w:p>
    <w:p w:rsidR="00E71603" w:rsidRPr="00E71603" w:rsidRDefault="00E71603" w:rsidP="00E71603">
      <w:pPr>
        <w:autoSpaceDE w:val="0"/>
        <w:autoSpaceDN w:val="0"/>
        <w:adjustRightInd w:val="0"/>
        <w:spacing w:after="120" w:line="276" w:lineRule="auto"/>
        <w:jc w:val="both"/>
        <w:rPr>
          <w:rFonts w:eastAsia="Calibri"/>
          <w:color w:val="000000"/>
          <w:sz w:val="22"/>
          <w:szCs w:val="22"/>
          <w:lang w:eastAsia="en-US"/>
        </w:rPr>
      </w:pPr>
      <w:r w:rsidRPr="00E71603">
        <w:rPr>
          <w:rFonts w:eastAsia="Calibri"/>
          <w:color w:val="000000"/>
          <w:sz w:val="22"/>
          <w:szCs w:val="22"/>
          <w:lang w:eastAsia="en-US"/>
        </w:rPr>
        <w:t>Vývoj mernej poruchovosti zariadení PS a nedodanej elektriny prevádzkovateľom PS v období 2007 –2016 je uvedený v grafoch na nasledujúcich obrázkoch.</w:t>
      </w:r>
    </w:p>
    <w:p w:rsidR="00E71603" w:rsidRPr="00E71603" w:rsidRDefault="00E71603" w:rsidP="00E71603">
      <w:pPr>
        <w:autoSpaceDE w:val="0"/>
        <w:autoSpaceDN w:val="0"/>
        <w:adjustRightInd w:val="0"/>
        <w:spacing w:after="120" w:line="276" w:lineRule="auto"/>
        <w:jc w:val="center"/>
        <w:rPr>
          <w:rFonts w:eastAsia="Calibri"/>
          <w:color w:val="000000"/>
          <w:sz w:val="22"/>
          <w:szCs w:val="22"/>
          <w:lang w:eastAsia="en-US"/>
        </w:rPr>
      </w:pPr>
      <w:r w:rsidRPr="00E71603">
        <w:rPr>
          <w:rFonts w:eastAsia="Calibri"/>
          <w:iCs/>
          <w:noProof/>
          <w:sz w:val="22"/>
          <w:szCs w:val="22"/>
          <w:lang w:eastAsia="sk-SK"/>
        </w:rPr>
        <w:drawing>
          <wp:inline distT="0" distB="0" distL="0" distR="0" wp14:anchorId="326DF7D1" wp14:editId="3FC8E365">
            <wp:extent cx="5543550" cy="2095499"/>
            <wp:effectExtent l="0" t="0" r="0" b="635"/>
            <wp:docPr id="67" name="Obrázo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837" t="9186" r="1676" b="6605"/>
                    <a:stretch/>
                  </pic:blipFill>
                  <pic:spPr bwMode="auto">
                    <a:xfrm>
                      <a:off x="0" y="0"/>
                      <a:ext cx="5545086" cy="2096080"/>
                    </a:xfrm>
                    <a:prstGeom prst="rect">
                      <a:avLst/>
                    </a:prstGeom>
                    <a:noFill/>
                    <a:ln>
                      <a:noFill/>
                    </a:ln>
                    <a:extLst>
                      <a:ext uri="{53640926-AAD7-44D8-BBD7-CCE9431645EC}">
                        <a14:shadowObscured xmlns:a14="http://schemas.microsoft.com/office/drawing/2010/main"/>
                      </a:ext>
                    </a:extLst>
                  </pic:spPr>
                </pic:pic>
              </a:graphicData>
            </a:graphic>
          </wp:inline>
        </w:drawing>
      </w:r>
    </w:p>
    <w:p w:rsidR="00E71603" w:rsidRPr="00E71603" w:rsidRDefault="00E71603" w:rsidP="00E71603">
      <w:pPr>
        <w:spacing w:after="80" w:line="276" w:lineRule="auto"/>
        <w:jc w:val="center"/>
        <w:rPr>
          <w:rFonts w:eastAsia="Calibri"/>
          <w:b/>
          <w:i/>
          <w:sz w:val="22"/>
          <w:szCs w:val="22"/>
          <w:lang w:eastAsia="en-US"/>
        </w:rPr>
      </w:pPr>
      <w:r w:rsidRPr="00E71603">
        <w:rPr>
          <w:rFonts w:eastAsia="Calibri"/>
          <w:b/>
          <w:i/>
          <w:sz w:val="22"/>
          <w:szCs w:val="22"/>
          <w:lang w:eastAsia="en-US"/>
        </w:rPr>
        <w:t>Obr. 7.1  Vývoj mernej poruchovosti v prenosovej sústave SR za roky 2007 až 2016</w:t>
      </w:r>
    </w:p>
    <w:p w:rsidR="00E71603" w:rsidRPr="00E71603" w:rsidRDefault="00E71603" w:rsidP="00E71603">
      <w:pPr>
        <w:spacing w:before="240" w:after="80" w:line="276" w:lineRule="auto"/>
        <w:jc w:val="center"/>
        <w:rPr>
          <w:rFonts w:eastAsia="Calibri"/>
          <w:b/>
          <w:i/>
          <w:sz w:val="22"/>
          <w:szCs w:val="22"/>
          <w:lang w:eastAsia="en-US"/>
        </w:rPr>
      </w:pPr>
      <w:r w:rsidRPr="00E71603">
        <w:rPr>
          <w:rFonts w:eastAsia="Calibri"/>
          <w:iCs/>
          <w:noProof/>
          <w:sz w:val="22"/>
          <w:szCs w:val="22"/>
          <w:lang w:eastAsia="sk-SK"/>
        </w:rPr>
        <w:drawing>
          <wp:inline distT="0" distB="0" distL="0" distR="0" wp14:anchorId="5884C44D" wp14:editId="786BB51B">
            <wp:extent cx="5687695" cy="2089150"/>
            <wp:effectExtent l="0" t="0" r="8255" b="6350"/>
            <wp:docPr id="68" name="Obrázo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8910"/>
                    <a:stretch/>
                  </pic:blipFill>
                  <pic:spPr bwMode="auto">
                    <a:xfrm>
                      <a:off x="0" y="0"/>
                      <a:ext cx="5688000" cy="2089262"/>
                    </a:xfrm>
                    <a:prstGeom prst="rect">
                      <a:avLst/>
                    </a:prstGeom>
                    <a:noFill/>
                    <a:ln>
                      <a:noFill/>
                    </a:ln>
                    <a:extLst>
                      <a:ext uri="{53640926-AAD7-44D8-BBD7-CCE9431645EC}">
                        <a14:shadowObscured xmlns:a14="http://schemas.microsoft.com/office/drawing/2010/main"/>
                      </a:ext>
                    </a:extLst>
                  </pic:spPr>
                </pic:pic>
              </a:graphicData>
            </a:graphic>
          </wp:inline>
        </w:drawing>
      </w:r>
      <w:r w:rsidRPr="00E71603">
        <w:rPr>
          <w:rFonts w:eastAsia="Calibri"/>
          <w:b/>
          <w:i/>
          <w:sz w:val="22"/>
          <w:szCs w:val="22"/>
          <w:lang w:eastAsia="en-US"/>
        </w:rPr>
        <w:t>Obr. 7.2  Vývoj nedodanej elektriny v prenosovej sústave SR za roky 2007 až 2016</w:t>
      </w:r>
    </w:p>
    <w:p w:rsidR="00E71603" w:rsidRPr="00E71603" w:rsidRDefault="00E71603" w:rsidP="00E71603">
      <w:pPr>
        <w:spacing w:after="80" w:line="276" w:lineRule="auto"/>
        <w:jc w:val="center"/>
        <w:rPr>
          <w:rFonts w:eastAsia="Calibri"/>
          <w:b/>
          <w:i/>
          <w:sz w:val="22"/>
          <w:szCs w:val="22"/>
          <w:lang w:eastAsia="en-US"/>
        </w:rPr>
      </w:pPr>
    </w:p>
    <w:p w:rsidR="00E71603" w:rsidRPr="00E71603" w:rsidRDefault="00E71603" w:rsidP="00E71603">
      <w:pPr>
        <w:spacing w:after="120" w:line="276" w:lineRule="auto"/>
        <w:jc w:val="both"/>
        <w:rPr>
          <w:rFonts w:eastAsia="Calibri"/>
          <w:iCs/>
          <w:sz w:val="22"/>
          <w:szCs w:val="22"/>
          <w:lang w:eastAsia="en-US"/>
        </w:rPr>
      </w:pPr>
      <w:r w:rsidRPr="00E71603">
        <w:rPr>
          <w:rFonts w:eastAsia="Calibri"/>
          <w:iCs/>
          <w:sz w:val="22"/>
          <w:szCs w:val="22"/>
          <w:lang w:eastAsia="en-US"/>
        </w:rPr>
        <w:t>Z grafov je zrejmé, že veľkosť nedodanej energie v PS nie je úmerná počtu porúch, ale závisí od množstva špecifických faktorov konkrétnej poruchy v PS.</w:t>
      </w:r>
    </w:p>
    <w:p w:rsidR="00E71603" w:rsidRPr="00E71603" w:rsidRDefault="00E71603" w:rsidP="00E71603">
      <w:pPr>
        <w:spacing w:after="120" w:line="276" w:lineRule="auto"/>
        <w:jc w:val="both"/>
        <w:rPr>
          <w:rFonts w:eastAsia="Calibri"/>
          <w:iCs/>
          <w:sz w:val="22"/>
          <w:szCs w:val="22"/>
          <w:lang w:eastAsia="en-US"/>
        </w:rPr>
      </w:pPr>
      <w:r w:rsidRPr="00E71603">
        <w:rPr>
          <w:rFonts w:eastAsia="Calibri"/>
          <w:iCs/>
          <w:sz w:val="22"/>
          <w:szCs w:val="22"/>
          <w:lang w:eastAsia="en-US"/>
        </w:rPr>
        <w:t>Údržba zariadení PS bola v predchádzajúcom období zabezpečovaná kontinuálne podľa vopred stanoveného harmonogramu zosúladeného s prípravou prevádzky, pri zohľadnení pravidelne monitorovaného, diagnostikovaného a vyhodnocovaného stavu zariadení PS (</w:t>
      </w:r>
      <w:proofErr w:type="spellStart"/>
      <w:r w:rsidRPr="00E71603">
        <w:rPr>
          <w:rFonts w:eastAsia="Calibri"/>
          <w:iCs/>
          <w:sz w:val="22"/>
          <w:szCs w:val="22"/>
          <w:lang w:eastAsia="en-US"/>
        </w:rPr>
        <w:t>asset</w:t>
      </w:r>
      <w:proofErr w:type="spellEnd"/>
      <w:r w:rsidRPr="00E71603">
        <w:rPr>
          <w:rFonts w:eastAsia="Calibri"/>
          <w:iCs/>
          <w:sz w:val="22"/>
          <w:szCs w:val="22"/>
          <w:lang w:eastAsia="en-US"/>
        </w:rPr>
        <w:t xml:space="preserve"> monitoring).</w:t>
      </w:r>
    </w:p>
    <w:p w:rsidR="00E71603" w:rsidRPr="00E71603" w:rsidRDefault="00E71603" w:rsidP="00E71603">
      <w:pPr>
        <w:spacing w:after="120" w:line="276" w:lineRule="auto"/>
        <w:jc w:val="both"/>
        <w:rPr>
          <w:rFonts w:eastAsia="Calibri"/>
          <w:iCs/>
          <w:sz w:val="22"/>
          <w:szCs w:val="22"/>
          <w:lang w:eastAsia="en-US"/>
        </w:rPr>
      </w:pPr>
      <w:r w:rsidRPr="00E71603">
        <w:rPr>
          <w:rFonts w:eastAsia="Calibri"/>
          <w:iCs/>
          <w:sz w:val="22"/>
          <w:szCs w:val="22"/>
          <w:lang w:eastAsia="en-US"/>
        </w:rPr>
        <w:lastRenderedPageBreak/>
        <w:t>V rámci prípravy prevádzky PS dochádza k maximálnej koordinácii vypínacích plánov s odstávkami výrobných zariadení. Je snaha, čo možno v najväčšej miere zabrániť zníženiu spoľahlivosti vyvedenia výkonov z jednotlivých výrobní. Táto oblasť je náročná hlavne pri vyvedení výkonu z jadrových elektrárni. Dôležitou časťou je zabezpečenie rezervného napájania vlastnej spotreby jadrových elektrární.</w:t>
      </w:r>
    </w:p>
    <w:p w:rsidR="00E71603" w:rsidRPr="00E71603" w:rsidRDefault="00E71603" w:rsidP="00E71603">
      <w:pPr>
        <w:spacing w:after="120" w:line="276" w:lineRule="auto"/>
        <w:jc w:val="both"/>
        <w:rPr>
          <w:rFonts w:eastAsia="Calibri"/>
          <w:iCs/>
          <w:sz w:val="22"/>
          <w:szCs w:val="22"/>
          <w:lang w:eastAsia="en-US"/>
        </w:rPr>
      </w:pPr>
      <w:r w:rsidRPr="00E71603">
        <w:rPr>
          <w:rFonts w:eastAsia="Calibri"/>
          <w:iCs/>
          <w:sz w:val="22"/>
          <w:szCs w:val="22"/>
          <w:lang w:eastAsia="en-US"/>
        </w:rPr>
        <w:t>Súčasne sa kladie dôraz aj na koordináciu vypínacích plánov zariadení SEPS s prevádzkovateľmi distribučných sústav tak, aby nedošlo k obmedzeniu, resp. k zníženiu bezpečnosti ich zásobovania, predovšetkým pri údržbe rozvodní elektrických staníc PS s transformačnou väzbou PS/DS napájaných len dvoma prenosovými vedeniami.</w:t>
      </w:r>
    </w:p>
    <w:p w:rsidR="00E71603" w:rsidRPr="00E71603" w:rsidRDefault="00E71603" w:rsidP="00E71603">
      <w:pPr>
        <w:spacing w:after="120" w:line="276" w:lineRule="auto"/>
        <w:jc w:val="both"/>
        <w:rPr>
          <w:rFonts w:eastAsia="Calibri"/>
          <w:sz w:val="22"/>
          <w:szCs w:val="22"/>
          <w:lang w:eastAsia="en-US"/>
        </w:rPr>
      </w:pPr>
      <w:r w:rsidRPr="00E71603">
        <w:rPr>
          <w:rFonts w:eastAsia="Calibri"/>
          <w:iCs/>
          <w:sz w:val="22"/>
          <w:szCs w:val="22"/>
          <w:lang w:eastAsia="en-US"/>
        </w:rPr>
        <w:t xml:space="preserve">Všetky strednodobé a dlhodobé investičné a rozvojové zámery prevádzkovateľa PS rešpektujú vyššie uvedené skutočnosti týkajúce sa prípravy prevádzky, </w:t>
      </w:r>
      <w:proofErr w:type="spellStart"/>
      <w:r w:rsidRPr="00E71603">
        <w:rPr>
          <w:rFonts w:eastAsia="Calibri"/>
          <w:iCs/>
          <w:sz w:val="22"/>
          <w:szCs w:val="22"/>
          <w:lang w:eastAsia="en-US"/>
        </w:rPr>
        <w:t>asset</w:t>
      </w:r>
      <w:proofErr w:type="spellEnd"/>
      <w:r w:rsidRPr="00E71603">
        <w:rPr>
          <w:rFonts w:eastAsia="Calibri"/>
          <w:iCs/>
          <w:sz w:val="22"/>
          <w:szCs w:val="22"/>
          <w:lang w:eastAsia="en-US"/>
        </w:rPr>
        <w:t xml:space="preserve"> monitoringu zariadení PS a požiadavky pre zabezpečenie bezpečnej a spoľahlivej prevádzky ES SR v dlhodobom horizonte.</w:t>
      </w:r>
    </w:p>
    <w:p w:rsidR="00E71603" w:rsidRPr="00E71603" w:rsidRDefault="00E71603" w:rsidP="00E71603">
      <w:pPr>
        <w:keepNext/>
        <w:keepLines/>
        <w:numPr>
          <w:ilvl w:val="1"/>
          <w:numId w:val="14"/>
        </w:numPr>
        <w:spacing w:before="360" w:after="240" w:line="276" w:lineRule="auto"/>
        <w:ind w:left="426" w:hanging="426"/>
        <w:contextualSpacing/>
        <w:jc w:val="both"/>
        <w:outlineLvl w:val="1"/>
        <w:rPr>
          <w:b/>
          <w:szCs w:val="22"/>
          <w:lang w:eastAsia="en-US"/>
        </w:rPr>
      </w:pPr>
      <w:bookmarkStart w:id="37" w:name="_Toc421519910"/>
      <w:bookmarkStart w:id="38" w:name="_Toc487558018"/>
      <w:r w:rsidRPr="00E71603">
        <w:rPr>
          <w:b/>
          <w:szCs w:val="22"/>
          <w:lang w:eastAsia="en-US"/>
        </w:rPr>
        <w:t>Vyhodnotenie parametrov kvality elektriny v PS</w:t>
      </w:r>
      <w:bookmarkEnd w:id="37"/>
      <w:bookmarkEnd w:id="38"/>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Na základe vyhodnotenia štandardov kvality elektriny v PS je možné konštatovať, že v roku 2016 nebolo prevádzkovateľom PS evidované žiadne podanie užívateľa PS na nedodržanie parametrov kvality elektriny, a teda v roku 2016 nedošlo zo strany prevádzkovateľa PS k žiadnemu porušeniu povinne sledovaných ukazovateľov kvality elektriny.</w:t>
      </w:r>
    </w:p>
    <w:p w:rsidR="00E71603" w:rsidRPr="00E71603" w:rsidRDefault="00E71603" w:rsidP="00E71603">
      <w:pPr>
        <w:spacing w:after="120" w:line="276" w:lineRule="auto"/>
        <w:jc w:val="both"/>
        <w:rPr>
          <w:rFonts w:eastAsia="Calibri"/>
          <w:sz w:val="22"/>
          <w:szCs w:val="22"/>
          <w:lang w:eastAsia="en-US"/>
        </w:rPr>
      </w:pPr>
      <w:r w:rsidRPr="00E71603">
        <w:rPr>
          <w:rFonts w:eastAsia="Calibri"/>
          <w:sz w:val="22"/>
          <w:szCs w:val="22"/>
          <w:lang w:eastAsia="en-US"/>
        </w:rPr>
        <w:t>V roku 2016 sa realizoval systém merania a vyhodnocovania kvality elektriny v PS v súlade s Technickými podmienkami SEPS. Celková úroveň kvality elektriny v prenosovej sústave je na vysokej úrovni, nakoľko až 96,93 % z celkového množstva meraných vzoriek je v súlade s predpísanými limitnými hodnotami kvality elektriny. Oproti roku 2015 bolo v PS zaznamenaných o 110 prekročení kvalitatívnych parametrov viac, čo predstavuje zhoršenie dodržiavania kvality v PS o 0,23 %.</w:t>
      </w:r>
    </w:p>
    <w:p w:rsidR="00E71603" w:rsidRPr="00E71603" w:rsidRDefault="00E71603" w:rsidP="00E71603">
      <w:pPr>
        <w:spacing w:after="120" w:line="276" w:lineRule="auto"/>
        <w:jc w:val="both"/>
        <w:rPr>
          <w:b/>
          <w:lang w:eastAsia="en-US"/>
        </w:rPr>
      </w:pPr>
      <w:r w:rsidRPr="00E71603">
        <w:rPr>
          <w:rFonts w:eastAsia="Calibri"/>
          <w:b/>
          <w:lang w:eastAsia="en-US"/>
        </w:rPr>
        <w:br w:type="page"/>
      </w:r>
    </w:p>
    <w:p w:rsidR="00E71603" w:rsidRPr="00E71603" w:rsidRDefault="00E71603" w:rsidP="00E71603">
      <w:pPr>
        <w:keepNext/>
        <w:keepLines/>
        <w:spacing w:before="240" w:after="240" w:line="276" w:lineRule="auto"/>
        <w:jc w:val="both"/>
        <w:outlineLvl w:val="0"/>
        <w:rPr>
          <w:b/>
          <w:caps/>
          <w:szCs w:val="32"/>
          <w:lang w:eastAsia="en-US"/>
        </w:rPr>
      </w:pPr>
      <w:bookmarkStart w:id="39" w:name="_Toc487558019"/>
      <w:r w:rsidRPr="00E71603">
        <w:rPr>
          <w:b/>
          <w:caps/>
          <w:szCs w:val="32"/>
          <w:lang w:eastAsia="en-US"/>
        </w:rPr>
        <w:lastRenderedPageBreak/>
        <w:t>Úloha orgánov štátnej správy</w:t>
      </w:r>
      <w:bookmarkEnd w:id="39"/>
      <w:r w:rsidRPr="00E71603">
        <w:rPr>
          <w:b/>
          <w:caps/>
          <w:szCs w:val="32"/>
          <w:lang w:eastAsia="en-US"/>
        </w:rPr>
        <w:t xml:space="preserve"> </w:t>
      </w:r>
    </w:p>
    <w:p w:rsidR="00E71603" w:rsidRPr="00E71603" w:rsidRDefault="00E71603" w:rsidP="00E71603">
      <w:pPr>
        <w:spacing w:after="120" w:line="276" w:lineRule="auto"/>
        <w:jc w:val="both"/>
        <w:rPr>
          <w:rFonts w:eastAsia="Calibri"/>
          <w:b/>
          <w:caps/>
          <w:lang w:eastAsia="en-US"/>
        </w:rPr>
      </w:pPr>
      <w:r w:rsidRPr="00E71603">
        <w:rPr>
          <w:rFonts w:eastAsia="Calibri"/>
          <w:sz w:val="22"/>
          <w:szCs w:val="22"/>
          <w:lang w:eastAsia="en-US"/>
        </w:rPr>
        <w:t>Ministerstvo hospodárstva SR podľa zákona č. 251/2012 Z. z. o energetike a o zmene a doplnení niektorých zákonov v znení neskorších predpisov zabezpečuje sledovanie dodržiavania bezpečnosti dodávky elektriny, prijíma opatrenia zamerané na zabezpečenie bezpečnosti dodávok elektriny, určuje rozsah kritérií technickej bezpečnosti sústavy a siete, rozhoduje o uplatnení opatrení, ak ide o ohrozenie bezpečnosti a spoľahlivosti prevádzky sústavy a siete. Uverejňuje každoročne do 31. júla správu o výsledkoch monitorovania bezpečnosti dodávok elektriny a o prijatých a predpokladaných opatreniach na riešenie bezpečnosti dodávok elektriny. Na žiadosť URSO vydáva stanovisko o ohrození bezpečnosti dodávok elektriny na vymedzenom území a na území Európskej únie podľa osobitného predpisu (Zákon č. 250/2012 o regulácii a o zmene a doplnení niektorých zákonov v znení neskorších predpisov).</w:t>
      </w:r>
    </w:p>
    <w:p w:rsidR="00E71603" w:rsidRPr="00E71603" w:rsidRDefault="00E71603" w:rsidP="00E71603">
      <w:pPr>
        <w:keepNext/>
        <w:keepLines/>
        <w:spacing w:before="240" w:after="240" w:line="276" w:lineRule="auto"/>
        <w:jc w:val="both"/>
        <w:outlineLvl w:val="0"/>
        <w:rPr>
          <w:b/>
          <w:caps/>
          <w:lang w:eastAsia="en-US"/>
        </w:rPr>
        <w:sectPr w:rsidR="00E71603" w:rsidRPr="00E71603" w:rsidSect="00E71603">
          <w:pgSz w:w="11906" w:h="16838"/>
          <w:pgMar w:top="1418" w:right="1418" w:bottom="1418" w:left="1418" w:header="709" w:footer="709" w:gutter="0"/>
          <w:cols w:space="708"/>
          <w:docGrid w:linePitch="360"/>
        </w:sectPr>
      </w:pPr>
    </w:p>
    <w:p w:rsidR="00E71603" w:rsidRPr="00E71603" w:rsidRDefault="00E71603" w:rsidP="00E71603">
      <w:pPr>
        <w:keepNext/>
        <w:keepLines/>
        <w:spacing w:before="240" w:after="240" w:line="276" w:lineRule="auto"/>
        <w:jc w:val="both"/>
        <w:outlineLvl w:val="0"/>
        <w:rPr>
          <w:b/>
          <w:caps/>
          <w:lang w:eastAsia="en-US"/>
        </w:rPr>
      </w:pPr>
      <w:bookmarkStart w:id="40" w:name="_Toc487558020"/>
      <w:r w:rsidRPr="00E71603">
        <w:rPr>
          <w:b/>
          <w:caps/>
          <w:lang w:eastAsia="en-US"/>
        </w:rPr>
        <w:lastRenderedPageBreak/>
        <w:t>Záver</w:t>
      </w:r>
      <w:bookmarkEnd w:id="40"/>
    </w:p>
    <w:p w:rsidR="00E71603" w:rsidRPr="00E71603" w:rsidRDefault="00E71603" w:rsidP="00E71603">
      <w:pPr>
        <w:spacing w:line="276" w:lineRule="auto"/>
        <w:jc w:val="both"/>
        <w:rPr>
          <w:rFonts w:eastAsia="Calibri"/>
          <w:iCs/>
          <w:sz w:val="22"/>
          <w:szCs w:val="22"/>
          <w:lang w:eastAsia="en-US"/>
        </w:rPr>
      </w:pPr>
      <w:r w:rsidRPr="00E71603">
        <w:rPr>
          <w:rFonts w:eastAsia="Calibri"/>
          <w:iCs/>
          <w:sz w:val="22"/>
          <w:szCs w:val="22"/>
          <w:lang w:eastAsia="en-US"/>
        </w:rPr>
        <w:t>V oblasti zabezpečovania bezpečnej a spoľahlivej dodávky elektriny odberateľom a v oblasti plnenia kritérií a odporúčaní ENTSO-E boli v uplynulom období vykázané dobré výsledky. Aj napriek tomu je potrebné v nasledujúcich rokoch venovať zvýšenú pozornosť koordinovanému rozvoju ES SR tak, aby bola schopná reagovať na nasledujúce skutočnosti:</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veľký význam PS SR v rámci spolupráce členských krajín EÚ/ENTSO-E a s tým súvisiaca nevyhnutnosť budovania nových spojovacích a nadväzujúcich vnútorných vedení PS,</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zvyšujúca sa intenzita obchodných aktivít na liberalizovanom trhu s elektrinou a jej vplyv na prvky PS SR, ako aj na jej prevádzku,</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rozvoj trhu s podpornými službami a možnosť obstarávať niektoré typy podporných služieb aj z iných regulačných oblastí,</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zložitá a nedoriešená situácia v oblasti tranzitných a kruhových tokov, dôsledkom čoho je ťažko predvídateľný vývoj v oblasti alokácie prenosových kapacít,</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závažné strategické zmeny prístupov niektorých národných vlád v regióne EÚ k vlastným národným energetickým politikám s dopadmi na okolité štáty,</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 xml:space="preserve">napĺňanie stanovených cieľov EÚ v oblasti </w:t>
      </w:r>
      <w:proofErr w:type="spellStart"/>
      <w:r w:rsidRPr="00E71603">
        <w:rPr>
          <w:rFonts w:eastAsia="Calibri"/>
          <w:iCs/>
          <w:sz w:val="22"/>
          <w:szCs w:val="22"/>
          <w:lang w:eastAsia="en-US"/>
        </w:rPr>
        <w:t>elektroenergetiky</w:t>
      </w:r>
      <w:proofErr w:type="spellEnd"/>
      <w:r w:rsidRPr="00E71603">
        <w:rPr>
          <w:rFonts w:eastAsia="Calibri"/>
          <w:iCs/>
          <w:sz w:val="22"/>
          <w:szCs w:val="22"/>
          <w:lang w:eastAsia="en-US"/>
        </w:rPr>
        <w:t xml:space="preserve"> a ochrany klímy, v tejto súvislosti narastajúci vplyv Európskej komisie v oblasti rozvoja </w:t>
      </w:r>
      <w:proofErr w:type="spellStart"/>
      <w:r w:rsidRPr="00E71603">
        <w:rPr>
          <w:rFonts w:eastAsia="Calibri"/>
          <w:iCs/>
          <w:sz w:val="22"/>
          <w:szCs w:val="22"/>
          <w:lang w:eastAsia="en-US"/>
        </w:rPr>
        <w:t>elektroenergetiky</w:t>
      </w:r>
      <w:proofErr w:type="spellEnd"/>
      <w:r w:rsidRPr="00E71603">
        <w:rPr>
          <w:rFonts w:eastAsia="Calibri"/>
          <w:iCs/>
          <w:sz w:val="22"/>
          <w:szCs w:val="22"/>
          <w:lang w:eastAsia="en-US"/>
        </w:rPr>
        <w:t>, presadzovaný na úroveň jednotlivých členských štátov EÚ a na jednotlivých prevádzkovateľov PS v ENTSO-E,</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 xml:space="preserve">implementácia nových spoločných európskych sieťových predpisov v oblasti synchrónnej prevádzky prenosových sústav a cezhraničného obchodovania a z toho vyplývajúce závažné riziká najmä pri zabezpečovaní </w:t>
      </w:r>
      <w:proofErr w:type="spellStart"/>
      <w:r w:rsidRPr="00E71603">
        <w:rPr>
          <w:rFonts w:eastAsia="Calibri"/>
          <w:iCs/>
          <w:sz w:val="22"/>
          <w:szCs w:val="22"/>
          <w:lang w:eastAsia="en-US"/>
        </w:rPr>
        <w:t>PpS</w:t>
      </w:r>
      <w:proofErr w:type="spellEnd"/>
      <w:r w:rsidRPr="00E71603">
        <w:rPr>
          <w:rFonts w:eastAsia="Calibri"/>
          <w:iCs/>
          <w:sz w:val="22"/>
          <w:szCs w:val="22"/>
          <w:lang w:eastAsia="en-US"/>
        </w:rPr>
        <w:t>,</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neustály tlak európskej komisie na zvyšovanie bezpečnosti a kvality dodávok elektriny pre všetky kategórie odberateľov formou zavádzania príslušných ukazovateľov,</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morálna a fyzická zastaranosť viacerých energetických zariadení PS SR a potreba ich obnovy s reflektovaním najnovších trendov v oblasti zariadení prenosových sústav,</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 xml:space="preserve">negatívny vplyv odstavovania fosílnych zdrojov elektriny (zastaraných a ekonomicky nevýhodných), bez adekvátnej náhrady, z prevádzky na území SR na </w:t>
      </w:r>
      <w:proofErr w:type="spellStart"/>
      <w:r w:rsidRPr="00E71603">
        <w:rPr>
          <w:rFonts w:eastAsia="Calibri"/>
          <w:iCs/>
          <w:sz w:val="22"/>
          <w:szCs w:val="22"/>
          <w:lang w:eastAsia="en-US"/>
        </w:rPr>
        <w:t>spoľahlivostné</w:t>
      </w:r>
      <w:proofErr w:type="spellEnd"/>
      <w:r w:rsidRPr="00E71603">
        <w:rPr>
          <w:rFonts w:eastAsia="Calibri"/>
          <w:iCs/>
          <w:sz w:val="22"/>
          <w:szCs w:val="22"/>
          <w:lang w:eastAsia="en-US"/>
        </w:rPr>
        <w:t xml:space="preserve"> parametre prevádzky elektrizačnej sústavy,</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lastRenderedPageBreak/>
        <w:t>pretrvávajúci záujem o výstavbu podporovaných obnoviteľných zdrojov elektriny na území SR, ktoré na rozdiel od ostatných zdrojov elektriny vyvolávajú (predovšetkým FVE a VTE) potrebu na dodatočné objemy podporných služieb,</w:t>
      </w:r>
    </w:p>
    <w:p w:rsidR="00E71603" w:rsidRPr="00E71603" w:rsidRDefault="00E71603" w:rsidP="00E71603">
      <w:pPr>
        <w:numPr>
          <w:ilvl w:val="0"/>
          <w:numId w:val="40"/>
        </w:numPr>
        <w:spacing w:after="120" w:line="276" w:lineRule="auto"/>
        <w:ind w:left="709" w:hanging="283"/>
        <w:jc w:val="both"/>
        <w:rPr>
          <w:rFonts w:eastAsia="Calibri"/>
          <w:iCs/>
          <w:sz w:val="22"/>
          <w:szCs w:val="22"/>
          <w:lang w:eastAsia="en-US"/>
        </w:rPr>
      </w:pPr>
      <w:r w:rsidRPr="00E71603">
        <w:rPr>
          <w:rFonts w:eastAsia="Calibri"/>
          <w:iCs/>
          <w:sz w:val="22"/>
          <w:szCs w:val="22"/>
          <w:lang w:eastAsia="en-US"/>
        </w:rPr>
        <w:t>výstavba nových strategických zdrojov elektriny a rozvoj distribuovaných zdrojov elektriny na území SR.</w:t>
      </w:r>
    </w:p>
    <w:p w:rsidR="00E71603" w:rsidRPr="00E71603" w:rsidRDefault="00E71603" w:rsidP="00E71603">
      <w:pPr>
        <w:spacing w:before="120" w:after="120" w:line="276" w:lineRule="auto"/>
        <w:jc w:val="both"/>
        <w:rPr>
          <w:rFonts w:eastAsia="Calibri"/>
          <w:iCs/>
          <w:sz w:val="22"/>
          <w:szCs w:val="22"/>
          <w:lang w:eastAsia="en-US"/>
        </w:rPr>
      </w:pPr>
      <w:r w:rsidRPr="00E71603">
        <w:rPr>
          <w:rFonts w:eastAsia="Calibri"/>
          <w:iCs/>
          <w:sz w:val="22"/>
          <w:szCs w:val="22"/>
          <w:lang w:eastAsia="en-US"/>
        </w:rPr>
        <w:t>Z pohľadu celkovej bilancie elektriny a zabezpečenia primeranej úrovne prevádzkovej bezpečnosti a spoľahlivosti regulačnej oblasti SR bude rozhodujúce to, kedy dôjde k dobudovaniu rozostavaných blokov č. 3 a č. 4 JE Mochovce, prípadne k ich uvedeniu do komerčnej prevádzky a či ostanú naďalej neprevádzkované flexibilné paroplynové elektrárne v Malženiciach a v Bratislave, resp. v akom režime budú prevádzkované. V pomerne krátkom období došlo v regulačnej oblasti SR k odstaveniu takmer 1 100 MW inštalovaného výkonu vo flexibilných fosílnych zdrojov elektriny (PPC Malženice, PPC Bratislava, EVO 1 bloky č. 1 a č. 2 a ENO B bloky č. 3 a 4), čo už z pohľadu prevádzky ES SR nie je zanedbateľná hodnota. Náhrada tohto chýbajúceho výkonu by mala byť primeraná, t.j. v prípade odstavenia veľkého regulovateľného výkonu, je potrebné ho nahradiť technológiou výrobného zariadenia, ktorá dokáže rovnako flexibilne meniť hodnotu dodávaného výkonu podľa potrieb sústavy. Vzhľadom na pretrvávajúce riziká zaistenia bezpečnej a spoľahlivej prevádzky ES SR z pohľadu krytia špičkového dopytu ES SR a riešenia výpadkov a vzhľadom na ďalšie možné odstavovanie, resp. neprevádzkovanie flexibilných zdrojov, je potrebná koordinovaná spolupráca a prijatie adekvátnych riešení čo najskôr. Dobudovanie bloku č. 3 a bloku č. 4 JE Mochovce s inštalovaným výkonom 2x471 MW a ich uvedenie do komerčnej prevádzky nepredstavuje adekvátnu náhradu za odstavenie regulovateľných elektrární. Táto skutočnosť bude mať dopad aj na ďalší rozvoj distribuovanej výroby elektriny, hlavne čo sa týka obnoviteľných zdrojov energie, ktoré vyvolávajú potrebu dodatočných objemov podporných služieb (FVE, VTE). V každom prípade bude rozvoj flexibilných zdrojov elektriny na území Slovenska určujúci pre ďalší rozvoj zdrojov elektriny s ostatnými výrobnými technológiami.</w:t>
      </w:r>
    </w:p>
    <w:p w:rsidR="00E71603" w:rsidRPr="00E71603" w:rsidRDefault="00E71603" w:rsidP="00E71603">
      <w:pPr>
        <w:spacing w:before="120" w:after="120" w:line="276" w:lineRule="auto"/>
        <w:jc w:val="both"/>
        <w:rPr>
          <w:rFonts w:eastAsia="Calibri"/>
          <w:iCs/>
          <w:sz w:val="22"/>
          <w:szCs w:val="22"/>
          <w:lang w:eastAsia="en-US"/>
        </w:rPr>
      </w:pPr>
      <w:r w:rsidRPr="00E71603">
        <w:rPr>
          <w:rFonts w:eastAsia="Calibri"/>
          <w:iCs/>
          <w:sz w:val="22"/>
          <w:szCs w:val="22"/>
          <w:lang w:eastAsia="en-US"/>
        </w:rPr>
        <w:t xml:space="preserve">Podpora a zvýhodňovanie určitých druhov technológií výroby elektriny, predovšetkým s cieľom naplnenia cieľov EÚ v oblasti OZE, má za následok deformáciu trhu s elektrinou. Výsledkom je ekonomicky nerentabilná prevádzka a/alebo odstavovanie flexibilných zdrojov elektriny v regulačnej oblasti SR, následný nedostatok </w:t>
      </w:r>
      <w:proofErr w:type="spellStart"/>
      <w:r w:rsidRPr="00E71603">
        <w:rPr>
          <w:rFonts w:eastAsia="Calibri"/>
          <w:iCs/>
          <w:sz w:val="22"/>
          <w:szCs w:val="22"/>
          <w:lang w:eastAsia="en-US"/>
        </w:rPr>
        <w:t>PpS</w:t>
      </w:r>
      <w:proofErr w:type="spellEnd"/>
      <w:r w:rsidRPr="00E71603">
        <w:rPr>
          <w:rFonts w:eastAsia="Calibri"/>
          <w:iCs/>
          <w:sz w:val="22"/>
          <w:szCs w:val="22"/>
          <w:lang w:eastAsia="en-US"/>
        </w:rPr>
        <w:t xml:space="preserve"> potrebný aj pre prevádzkovanie a rozvoj DECE zdrojov elektriny typu FVE a VTE. Z tohto dôvodu je potrebné stanoviť technické limity rozvoja decentralizovaných zdrojov elektriny (predovšetkým FVE a VTE) pre zabezpečenie bezpečnej a spoľahlivej prevádzky ES SR.</w:t>
      </w:r>
    </w:p>
    <w:p w:rsidR="00102024" w:rsidRPr="00AF7C17" w:rsidRDefault="00E71603" w:rsidP="0028282D">
      <w:pPr>
        <w:spacing w:line="276" w:lineRule="auto"/>
        <w:jc w:val="both"/>
      </w:pPr>
      <w:r w:rsidRPr="00E71603">
        <w:rPr>
          <w:rFonts w:eastAsia="Calibri"/>
          <w:iCs/>
          <w:sz w:val="22"/>
          <w:szCs w:val="22"/>
          <w:lang w:eastAsia="en-US"/>
        </w:rPr>
        <w:t>Na základe vyššie uvedených skutočností je nevyhnutné prehĺbiť a skoordinovať spoluprácu všetkých účastníkov trhu s elektrinou na Slovensku pri plnení povinností vypl</w:t>
      </w:r>
      <w:r w:rsidR="0028282D">
        <w:rPr>
          <w:rFonts w:eastAsia="Calibri"/>
          <w:iCs/>
          <w:sz w:val="22"/>
          <w:szCs w:val="22"/>
          <w:lang w:eastAsia="en-US"/>
        </w:rPr>
        <w:t xml:space="preserve">ývajúcich z legislatívy SR a EÚ </w:t>
      </w:r>
      <w:r w:rsidRPr="00E71603">
        <w:rPr>
          <w:rFonts w:eastAsia="Calibri"/>
          <w:iCs/>
          <w:sz w:val="22"/>
          <w:szCs w:val="22"/>
          <w:lang w:eastAsia="en-US"/>
        </w:rPr>
        <w:t>ako aj pri plnení záväzkov v združení prevádzkovateľov prenosových sústav ENTSO-E.</w:t>
      </w:r>
    </w:p>
    <w:sectPr w:rsidR="00102024" w:rsidRPr="00AF7C17" w:rsidSect="00E71603">
      <w:footerReference w:type="default" r:id="rId44"/>
      <w:type w:val="continuous"/>
      <w:pgSz w:w="11906" w:h="16838"/>
      <w:pgMar w:top="1417" w:right="1417" w:bottom="1417" w:left="1417" w:header="709" w:footer="114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2DBF" w:rsidRDefault="001D2DBF" w:rsidP="00D10187">
      <w:r>
        <w:separator/>
      </w:r>
    </w:p>
  </w:endnote>
  <w:endnote w:type="continuationSeparator" w:id="0">
    <w:p w:rsidR="001D2DBF" w:rsidRDefault="001D2DBF" w:rsidP="00D10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65C9" w:rsidRPr="005B3870" w:rsidRDefault="00AE65C9" w:rsidP="00E71603">
    <w:pPr>
      <w:pStyle w:val="Pta"/>
      <w:jc w:val="center"/>
      <w:rPr>
        <w:rFonts w:ascii="Arial" w:hAnsi="Arial" w:cs="Arial"/>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7336157"/>
      <w:docPartObj>
        <w:docPartGallery w:val="Page Numbers (Bottom of Page)"/>
        <w:docPartUnique/>
      </w:docPartObj>
    </w:sdtPr>
    <w:sdtEndPr>
      <w:rPr>
        <w:sz w:val="20"/>
        <w:szCs w:val="20"/>
      </w:rPr>
    </w:sdtEndPr>
    <w:sdtContent>
      <w:p w:rsidR="00AE65C9" w:rsidRPr="00910790" w:rsidRDefault="00AE65C9" w:rsidP="00E71603">
        <w:pPr>
          <w:pStyle w:val="Pta"/>
          <w:jc w:val="center"/>
          <w:rPr>
            <w:sz w:val="20"/>
            <w:szCs w:val="20"/>
          </w:rPr>
        </w:pPr>
        <w:r w:rsidRPr="00910790">
          <w:rPr>
            <w:sz w:val="20"/>
            <w:szCs w:val="20"/>
          </w:rPr>
          <w:fldChar w:fldCharType="begin"/>
        </w:r>
        <w:r w:rsidRPr="00910790">
          <w:rPr>
            <w:sz w:val="20"/>
            <w:szCs w:val="20"/>
          </w:rPr>
          <w:instrText>PAGE   \* MERGEFORMAT</w:instrText>
        </w:r>
        <w:r w:rsidRPr="00910790">
          <w:rPr>
            <w:sz w:val="20"/>
            <w:szCs w:val="20"/>
          </w:rPr>
          <w:fldChar w:fldCharType="separate"/>
        </w:r>
        <w:r w:rsidR="00C940DB">
          <w:rPr>
            <w:noProof/>
            <w:sz w:val="20"/>
            <w:szCs w:val="20"/>
          </w:rPr>
          <w:t>36</w:t>
        </w:r>
        <w:r w:rsidRPr="00910790">
          <w:rPr>
            <w:noProof/>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65C9" w:rsidRPr="00910790" w:rsidRDefault="00AE65C9" w:rsidP="00520B1C">
    <w:pPr>
      <w:pStyle w:val="Pta"/>
      <w:jc w:val="right"/>
      <w:rPr>
        <w:sz w:val="20"/>
        <w:szCs w:val="20"/>
      </w:rPr>
    </w:pPr>
    <w:r w:rsidRPr="00910790">
      <w:rPr>
        <w:sz w:val="20"/>
        <w:szCs w:val="20"/>
      </w:rPr>
      <w:fldChar w:fldCharType="begin"/>
    </w:r>
    <w:r w:rsidRPr="00910790">
      <w:rPr>
        <w:sz w:val="20"/>
        <w:szCs w:val="20"/>
      </w:rPr>
      <w:instrText>PAGE   \* MERGEFORMAT</w:instrText>
    </w:r>
    <w:r w:rsidRPr="00910790">
      <w:rPr>
        <w:sz w:val="20"/>
        <w:szCs w:val="20"/>
      </w:rPr>
      <w:fldChar w:fldCharType="separate"/>
    </w:r>
    <w:r w:rsidR="00C940DB">
      <w:rPr>
        <w:noProof/>
        <w:sz w:val="20"/>
        <w:szCs w:val="20"/>
      </w:rPr>
      <w:t>37</w:t>
    </w:r>
    <w:r w:rsidRPr="00910790">
      <w:rPr>
        <w:noProof/>
        <w:sz w:val="20"/>
        <w:szCs w:val="20"/>
      </w:rPr>
      <w:fldChar w:fldCharType="end"/>
    </w:r>
  </w:p>
  <w:p w:rsidR="00AE65C9" w:rsidRDefault="00AE65C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2DBF" w:rsidRDefault="001D2DBF" w:rsidP="00D10187">
      <w:r>
        <w:separator/>
      </w:r>
    </w:p>
  </w:footnote>
  <w:footnote w:type="continuationSeparator" w:id="0">
    <w:p w:rsidR="001D2DBF" w:rsidRDefault="001D2DBF" w:rsidP="00D10187">
      <w:r>
        <w:continuationSeparator/>
      </w:r>
    </w:p>
  </w:footnote>
  <w:footnote w:id="1">
    <w:p w:rsidR="00AE65C9" w:rsidRPr="004E6F79" w:rsidRDefault="00AE65C9" w:rsidP="00E71603">
      <w:pPr>
        <w:pStyle w:val="Textpoznmkypodiarou"/>
      </w:pPr>
      <w:r w:rsidRPr="004E6F79">
        <w:rPr>
          <w:rStyle w:val="Odkaznapoznmkupodiarou"/>
          <w:rFonts w:eastAsia="Calibri"/>
        </w:rPr>
        <w:footnoteRef/>
      </w:r>
      <w:r w:rsidRPr="004E6F79">
        <w:t xml:space="preserve"> </w:t>
      </w:r>
      <w:r w:rsidRPr="004E6F79">
        <w:rPr>
          <w:sz w:val="16"/>
          <w:szCs w:val="16"/>
        </w:rPr>
        <w:t>pre účel podkladov SEPS je zdroj elektriny, resp. zdroj chápaný v zmysle § 2, písm. b), ods. 1 zákona o energetike ako zariadenie na výrobu elektriny, ktoré slúži na premenu rôznych zdrojov energie na elektrinu; zahrňuje stavebnú časť a technologické zariadenie</w:t>
      </w:r>
    </w:p>
  </w:footnote>
  <w:footnote w:id="2">
    <w:p w:rsidR="00AE65C9" w:rsidRDefault="00AE65C9" w:rsidP="00E71603">
      <w:pPr>
        <w:pStyle w:val="Textpoznmkypodiarou"/>
        <w:rPr>
          <w:sz w:val="16"/>
        </w:rPr>
      </w:pPr>
      <w:r w:rsidRPr="00BF049F">
        <w:rPr>
          <w:rStyle w:val="Odkaznapoznmkupodiarou"/>
          <w:rFonts w:eastAsia="Calibri"/>
        </w:rPr>
        <w:footnoteRef/>
      </w:r>
      <w:r w:rsidRPr="00BF049F">
        <w:t xml:space="preserve"> </w:t>
      </w:r>
      <w:hyperlink r:id="rId1" w:history="1">
        <w:r w:rsidRPr="00BF049F">
          <w:rPr>
            <w:rStyle w:val="Hypertextovprepojenie"/>
            <w:sz w:val="16"/>
          </w:rPr>
          <w:t>https://www.entsoe.eu/publications/system-operations-reports/operation-handbook/Pages/default.aspx</w:t>
        </w:r>
      </w:hyperlink>
    </w:p>
    <w:p w:rsidR="00AE65C9" w:rsidRPr="00BF049F" w:rsidRDefault="00AE65C9" w:rsidP="00E71603">
      <w:pPr>
        <w:pStyle w:val="Textpoznmkypodiarou"/>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65C9" w:rsidRDefault="00AE65C9">
    <w:pPr>
      <w:pStyle w:val="Hlavika"/>
      <w:framePr w:wrap="around"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end"/>
    </w:r>
  </w:p>
  <w:p w:rsidR="00AE65C9" w:rsidRDefault="00AE65C9">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65C9" w:rsidRDefault="00AE65C9" w:rsidP="00E71603">
    <w:pPr>
      <w:pStyle w:val="Hlavika"/>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F375F"/>
    <w:multiLevelType w:val="hybridMultilevel"/>
    <w:tmpl w:val="EDAA2260"/>
    <w:lvl w:ilvl="0" w:tplc="041B0001">
      <w:start w:val="1"/>
      <w:numFmt w:val="bullet"/>
      <w:lvlText w:val=""/>
      <w:lvlJc w:val="left"/>
      <w:pPr>
        <w:ind w:left="420" w:hanging="360"/>
      </w:pPr>
      <w:rPr>
        <w:rFonts w:ascii="Symbol" w:hAnsi="Symbol" w:hint="default"/>
      </w:rPr>
    </w:lvl>
    <w:lvl w:ilvl="1" w:tplc="041B0003" w:tentative="1">
      <w:start w:val="1"/>
      <w:numFmt w:val="bullet"/>
      <w:lvlText w:val="o"/>
      <w:lvlJc w:val="left"/>
      <w:pPr>
        <w:ind w:left="1140" w:hanging="360"/>
      </w:pPr>
      <w:rPr>
        <w:rFonts w:ascii="Courier New" w:hAnsi="Courier New" w:cs="Courier New" w:hint="default"/>
      </w:rPr>
    </w:lvl>
    <w:lvl w:ilvl="2" w:tplc="041B0005" w:tentative="1">
      <w:start w:val="1"/>
      <w:numFmt w:val="bullet"/>
      <w:lvlText w:val=""/>
      <w:lvlJc w:val="left"/>
      <w:pPr>
        <w:ind w:left="1860" w:hanging="360"/>
      </w:pPr>
      <w:rPr>
        <w:rFonts w:ascii="Wingdings" w:hAnsi="Wingdings" w:hint="default"/>
      </w:rPr>
    </w:lvl>
    <w:lvl w:ilvl="3" w:tplc="041B0001" w:tentative="1">
      <w:start w:val="1"/>
      <w:numFmt w:val="bullet"/>
      <w:lvlText w:val=""/>
      <w:lvlJc w:val="left"/>
      <w:pPr>
        <w:ind w:left="2580" w:hanging="360"/>
      </w:pPr>
      <w:rPr>
        <w:rFonts w:ascii="Symbol" w:hAnsi="Symbol" w:hint="default"/>
      </w:rPr>
    </w:lvl>
    <w:lvl w:ilvl="4" w:tplc="041B0003" w:tentative="1">
      <w:start w:val="1"/>
      <w:numFmt w:val="bullet"/>
      <w:lvlText w:val="o"/>
      <w:lvlJc w:val="left"/>
      <w:pPr>
        <w:ind w:left="3300" w:hanging="360"/>
      </w:pPr>
      <w:rPr>
        <w:rFonts w:ascii="Courier New" w:hAnsi="Courier New" w:cs="Courier New" w:hint="default"/>
      </w:rPr>
    </w:lvl>
    <w:lvl w:ilvl="5" w:tplc="041B0005" w:tentative="1">
      <w:start w:val="1"/>
      <w:numFmt w:val="bullet"/>
      <w:lvlText w:val=""/>
      <w:lvlJc w:val="left"/>
      <w:pPr>
        <w:ind w:left="4020" w:hanging="360"/>
      </w:pPr>
      <w:rPr>
        <w:rFonts w:ascii="Wingdings" w:hAnsi="Wingdings" w:hint="default"/>
      </w:rPr>
    </w:lvl>
    <w:lvl w:ilvl="6" w:tplc="041B0001" w:tentative="1">
      <w:start w:val="1"/>
      <w:numFmt w:val="bullet"/>
      <w:lvlText w:val=""/>
      <w:lvlJc w:val="left"/>
      <w:pPr>
        <w:ind w:left="4740" w:hanging="360"/>
      </w:pPr>
      <w:rPr>
        <w:rFonts w:ascii="Symbol" w:hAnsi="Symbol" w:hint="default"/>
      </w:rPr>
    </w:lvl>
    <w:lvl w:ilvl="7" w:tplc="041B0003" w:tentative="1">
      <w:start w:val="1"/>
      <w:numFmt w:val="bullet"/>
      <w:lvlText w:val="o"/>
      <w:lvlJc w:val="left"/>
      <w:pPr>
        <w:ind w:left="5460" w:hanging="360"/>
      </w:pPr>
      <w:rPr>
        <w:rFonts w:ascii="Courier New" w:hAnsi="Courier New" w:cs="Courier New" w:hint="default"/>
      </w:rPr>
    </w:lvl>
    <w:lvl w:ilvl="8" w:tplc="041B0005" w:tentative="1">
      <w:start w:val="1"/>
      <w:numFmt w:val="bullet"/>
      <w:lvlText w:val=""/>
      <w:lvlJc w:val="left"/>
      <w:pPr>
        <w:ind w:left="6180" w:hanging="360"/>
      </w:pPr>
      <w:rPr>
        <w:rFonts w:ascii="Wingdings" w:hAnsi="Wingdings" w:hint="default"/>
      </w:rPr>
    </w:lvl>
  </w:abstractNum>
  <w:abstractNum w:abstractNumId="1">
    <w:nsid w:val="021A595E"/>
    <w:multiLevelType w:val="hybridMultilevel"/>
    <w:tmpl w:val="5EFEA322"/>
    <w:lvl w:ilvl="0" w:tplc="041B000F">
      <w:start w:val="1"/>
      <w:numFmt w:val="decimal"/>
      <w:lvlText w:val="%1."/>
      <w:lvlJc w:val="left"/>
      <w:pPr>
        <w:ind w:left="1145" w:hanging="360"/>
      </w:pPr>
    </w:lvl>
    <w:lvl w:ilvl="1" w:tplc="041B0019">
      <w:start w:val="1"/>
      <w:numFmt w:val="lowerLetter"/>
      <w:lvlText w:val="%2."/>
      <w:lvlJc w:val="left"/>
      <w:pPr>
        <w:ind w:left="1865" w:hanging="360"/>
      </w:pPr>
    </w:lvl>
    <w:lvl w:ilvl="2" w:tplc="041B001B" w:tentative="1">
      <w:start w:val="1"/>
      <w:numFmt w:val="lowerRoman"/>
      <w:lvlText w:val="%3."/>
      <w:lvlJc w:val="right"/>
      <w:pPr>
        <w:ind w:left="2585" w:hanging="180"/>
      </w:pPr>
    </w:lvl>
    <w:lvl w:ilvl="3" w:tplc="041B000F" w:tentative="1">
      <w:start w:val="1"/>
      <w:numFmt w:val="decimal"/>
      <w:lvlText w:val="%4."/>
      <w:lvlJc w:val="left"/>
      <w:pPr>
        <w:ind w:left="3305" w:hanging="360"/>
      </w:pPr>
    </w:lvl>
    <w:lvl w:ilvl="4" w:tplc="041B0019" w:tentative="1">
      <w:start w:val="1"/>
      <w:numFmt w:val="lowerLetter"/>
      <w:lvlText w:val="%5."/>
      <w:lvlJc w:val="left"/>
      <w:pPr>
        <w:ind w:left="4025" w:hanging="360"/>
      </w:pPr>
    </w:lvl>
    <w:lvl w:ilvl="5" w:tplc="041B001B" w:tentative="1">
      <w:start w:val="1"/>
      <w:numFmt w:val="lowerRoman"/>
      <w:lvlText w:val="%6."/>
      <w:lvlJc w:val="right"/>
      <w:pPr>
        <w:ind w:left="4745" w:hanging="180"/>
      </w:pPr>
    </w:lvl>
    <w:lvl w:ilvl="6" w:tplc="041B000F" w:tentative="1">
      <w:start w:val="1"/>
      <w:numFmt w:val="decimal"/>
      <w:lvlText w:val="%7."/>
      <w:lvlJc w:val="left"/>
      <w:pPr>
        <w:ind w:left="5465" w:hanging="360"/>
      </w:pPr>
    </w:lvl>
    <w:lvl w:ilvl="7" w:tplc="041B0019" w:tentative="1">
      <w:start w:val="1"/>
      <w:numFmt w:val="lowerLetter"/>
      <w:lvlText w:val="%8."/>
      <w:lvlJc w:val="left"/>
      <w:pPr>
        <w:ind w:left="6185" w:hanging="360"/>
      </w:pPr>
    </w:lvl>
    <w:lvl w:ilvl="8" w:tplc="041B001B" w:tentative="1">
      <w:start w:val="1"/>
      <w:numFmt w:val="lowerRoman"/>
      <w:lvlText w:val="%9."/>
      <w:lvlJc w:val="right"/>
      <w:pPr>
        <w:ind w:left="6905" w:hanging="180"/>
      </w:pPr>
    </w:lvl>
  </w:abstractNum>
  <w:abstractNum w:abstractNumId="2">
    <w:nsid w:val="03B321C8"/>
    <w:multiLevelType w:val="hybridMultilevel"/>
    <w:tmpl w:val="9A7E396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nsid w:val="03F44885"/>
    <w:multiLevelType w:val="hybridMultilevel"/>
    <w:tmpl w:val="8E5601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6620AF0"/>
    <w:multiLevelType w:val="hybridMultilevel"/>
    <w:tmpl w:val="8C0C4C0E"/>
    <w:lvl w:ilvl="0" w:tplc="B83A3F3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72665C8"/>
    <w:multiLevelType w:val="multilevel"/>
    <w:tmpl w:val="D516579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09FE0893"/>
    <w:multiLevelType w:val="hybridMultilevel"/>
    <w:tmpl w:val="21063500"/>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nsid w:val="0A301408"/>
    <w:multiLevelType w:val="hybridMultilevel"/>
    <w:tmpl w:val="3B48992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8">
    <w:nsid w:val="0FD10529"/>
    <w:multiLevelType w:val="hybridMultilevel"/>
    <w:tmpl w:val="2CEE32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171B1A7A"/>
    <w:multiLevelType w:val="hybridMultilevel"/>
    <w:tmpl w:val="E490185C"/>
    <w:lvl w:ilvl="0" w:tplc="041B0017">
      <w:start w:val="1"/>
      <w:numFmt w:val="lowerLetter"/>
      <w:lvlText w:val="%1)"/>
      <w:lvlJc w:val="left"/>
      <w:pPr>
        <w:ind w:left="1004" w:hanging="360"/>
      </w:pPr>
    </w:lvl>
    <w:lvl w:ilvl="1" w:tplc="041B0001">
      <w:start w:val="1"/>
      <w:numFmt w:val="bullet"/>
      <w:lvlText w:val=""/>
      <w:lvlJc w:val="left"/>
      <w:pPr>
        <w:ind w:left="1724" w:hanging="360"/>
      </w:pPr>
      <w:rPr>
        <w:rFonts w:ascii="Symbol" w:hAnsi="Symbol" w:hint="default"/>
      </w:r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0">
    <w:nsid w:val="178870EF"/>
    <w:multiLevelType w:val="hybridMultilevel"/>
    <w:tmpl w:val="0B2611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18121965"/>
    <w:multiLevelType w:val="hybridMultilevel"/>
    <w:tmpl w:val="F88A6B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1B4F6412"/>
    <w:multiLevelType w:val="hybridMultilevel"/>
    <w:tmpl w:val="BFA8251C"/>
    <w:lvl w:ilvl="0" w:tplc="0712A61E">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nsid w:val="1E9F0102"/>
    <w:multiLevelType w:val="multilevel"/>
    <w:tmpl w:val="9F18E92E"/>
    <w:lvl w:ilvl="0">
      <w:start w:val="1"/>
      <w:numFmt w:val="bullet"/>
      <w:pStyle w:val="Zoznamsodrazkou"/>
      <w:lvlText w:val=""/>
      <w:lvlJc w:val="left"/>
      <w:pPr>
        <w:tabs>
          <w:tab w:val="num" w:pos="1304"/>
        </w:tabs>
        <w:ind w:left="1588" w:hanging="284"/>
      </w:pPr>
      <w:rPr>
        <w:rFonts w:ascii="Symbol" w:hAnsi="Symbol" w:hint="default"/>
      </w:rPr>
    </w:lvl>
    <w:lvl w:ilvl="1">
      <w:start w:val="1"/>
      <w:numFmt w:val="bullet"/>
      <w:lvlText w:val="o"/>
      <w:lvlJc w:val="left"/>
      <w:pPr>
        <w:tabs>
          <w:tab w:val="num" w:pos="4253"/>
        </w:tabs>
        <w:ind w:left="2268" w:hanging="283"/>
      </w:pPr>
      <w:rPr>
        <w:rFonts w:ascii="Courier New" w:hAnsi="Courier New"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2742577A"/>
    <w:multiLevelType w:val="hybridMultilevel"/>
    <w:tmpl w:val="E1982CA0"/>
    <w:lvl w:ilvl="0" w:tplc="041B0017">
      <w:start w:val="1"/>
      <w:numFmt w:val="lowerLetter"/>
      <w:lvlText w:val="%1)"/>
      <w:lvlJc w:val="left"/>
      <w:pPr>
        <w:ind w:left="1004" w:hanging="360"/>
      </w:pPr>
    </w:lvl>
    <w:lvl w:ilvl="1" w:tplc="F7AAEFC4">
      <w:start w:val="1"/>
      <w:numFmt w:val="lowerLetter"/>
      <w:lvlText w:val="%2)"/>
      <w:lvlJc w:val="left"/>
      <w:pPr>
        <w:ind w:left="1724" w:hanging="360"/>
      </w:pPr>
      <w:rPr>
        <w:rFonts w:hint="default"/>
      </w:r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5">
    <w:nsid w:val="2861446A"/>
    <w:multiLevelType w:val="hybridMultilevel"/>
    <w:tmpl w:val="B08A20E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nsid w:val="288400FB"/>
    <w:multiLevelType w:val="hybridMultilevel"/>
    <w:tmpl w:val="0FB4E9B4"/>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2DCC3756"/>
    <w:multiLevelType w:val="multilevel"/>
    <w:tmpl w:val="9514AA14"/>
    <w:lvl w:ilvl="0">
      <w:start w:val="2"/>
      <w:numFmt w:val="decimal"/>
      <w:lvlText w:val="%1."/>
      <w:lvlJc w:val="left"/>
      <w:pPr>
        <w:tabs>
          <w:tab w:val="num" w:pos="720"/>
        </w:tabs>
        <w:ind w:left="720" w:hanging="360"/>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35C925A3"/>
    <w:multiLevelType w:val="hybridMultilevel"/>
    <w:tmpl w:val="300CCD36"/>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nsid w:val="36AC2BB4"/>
    <w:multiLevelType w:val="hybridMultilevel"/>
    <w:tmpl w:val="B656AA24"/>
    <w:lvl w:ilvl="0" w:tplc="505AE8CC">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nsid w:val="36F16A92"/>
    <w:multiLevelType w:val="hybridMultilevel"/>
    <w:tmpl w:val="C1E04DFA"/>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nsid w:val="377A0C98"/>
    <w:multiLevelType w:val="hybridMultilevel"/>
    <w:tmpl w:val="075C9C84"/>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3BBD02DB"/>
    <w:multiLevelType w:val="hybridMultilevel"/>
    <w:tmpl w:val="62F0E65A"/>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nsid w:val="3BC537A8"/>
    <w:multiLevelType w:val="hybridMultilevel"/>
    <w:tmpl w:val="C172B19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401E7BA4"/>
    <w:multiLevelType w:val="multilevel"/>
    <w:tmpl w:val="1774294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nsid w:val="41470646"/>
    <w:multiLevelType w:val="hybridMultilevel"/>
    <w:tmpl w:val="D65043C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4B430E6E"/>
    <w:multiLevelType w:val="hybridMultilevel"/>
    <w:tmpl w:val="9EE8B8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4EC23C52"/>
    <w:multiLevelType w:val="multilevel"/>
    <w:tmpl w:val="2AB82F20"/>
    <w:lvl w:ilvl="0">
      <w:start w:val="2"/>
      <w:numFmt w:val="decimal"/>
      <w:pStyle w:val="nadpisjedna"/>
      <w:lvlText w:val="%1."/>
      <w:lvlJc w:val="left"/>
      <w:pPr>
        <w:tabs>
          <w:tab w:val="num" w:pos="720"/>
        </w:tabs>
        <w:ind w:left="720" w:hanging="360"/>
      </w:pPr>
      <w:rPr>
        <w:rFonts w:hint="default"/>
      </w:rPr>
    </w:lvl>
    <w:lvl w:ilvl="1">
      <w:start w:val="3"/>
      <w:numFmt w:val="decimal"/>
      <w:pStyle w:val="nadpisdva"/>
      <w:isLgl/>
      <w:lvlText w:val="%1.%2."/>
      <w:lvlJc w:val="left"/>
      <w:pPr>
        <w:ind w:left="1429"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52B948DB"/>
    <w:multiLevelType w:val="hybridMultilevel"/>
    <w:tmpl w:val="5F2CA1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594C1104"/>
    <w:multiLevelType w:val="hybridMultilevel"/>
    <w:tmpl w:val="EBC8E31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61A371E4"/>
    <w:multiLevelType w:val="hybridMultilevel"/>
    <w:tmpl w:val="FE4C5AA2"/>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67310B4C"/>
    <w:multiLevelType w:val="hybridMultilevel"/>
    <w:tmpl w:val="3C947614"/>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2">
    <w:nsid w:val="6BFB5463"/>
    <w:multiLevelType w:val="hybridMultilevel"/>
    <w:tmpl w:val="31E47DB4"/>
    <w:lvl w:ilvl="0" w:tplc="F7AAEFC4">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nsid w:val="6D505EB8"/>
    <w:multiLevelType w:val="hybridMultilevel"/>
    <w:tmpl w:val="098EE2CA"/>
    <w:lvl w:ilvl="0" w:tplc="B64CFBD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728E7DE5"/>
    <w:multiLevelType w:val="hybridMultilevel"/>
    <w:tmpl w:val="F70E97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73A262D1"/>
    <w:multiLevelType w:val="hybridMultilevel"/>
    <w:tmpl w:val="7E0C2732"/>
    <w:lvl w:ilvl="0" w:tplc="041B0001">
      <w:start w:val="1"/>
      <w:numFmt w:val="bullet"/>
      <w:lvlText w:val=""/>
      <w:lvlJc w:val="left"/>
      <w:pPr>
        <w:ind w:left="1174" w:hanging="360"/>
      </w:pPr>
      <w:rPr>
        <w:rFonts w:ascii="Symbol" w:hAnsi="Symbol" w:hint="default"/>
      </w:rPr>
    </w:lvl>
    <w:lvl w:ilvl="1" w:tplc="041B0003" w:tentative="1">
      <w:start w:val="1"/>
      <w:numFmt w:val="bullet"/>
      <w:lvlText w:val="o"/>
      <w:lvlJc w:val="left"/>
      <w:pPr>
        <w:ind w:left="1894" w:hanging="360"/>
      </w:pPr>
      <w:rPr>
        <w:rFonts w:ascii="Courier New" w:hAnsi="Courier New" w:cs="Courier New" w:hint="default"/>
      </w:rPr>
    </w:lvl>
    <w:lvl w:ilvl="2" w:tplc="041B0005" w:tentative="1">
      <w:start w:val="1"/>
      <w:numFmt w:val="bullet"/>
      <w:lvlText w:val=""/>
      <w:lvlJc w:val="left"/>
      <w:pPr>
        <w:ind w:left="2614" w:hanging="360"/>
      </w:pPr>
      <w:rPr>
        <w:rFonts w:ascii="Wingdings" w:hAnsi="Wingdings" w:hint="default"/>
      </w:rPr>
    </w:lvl>
    <w:lvl w:ilvl="3" w:tplc="041B0001" w:tentative="1">
      <w:start w:val="1"/>
      <w:numFmt w:val="bullet"/>
      <w:lvlText w:val=""/>
      <w:lvlJc w:val="left"/>
      <w:pPr>
        <w:ind w:left="3334" w:hanging="360"/>
      </w:pPr>
      <w:rPr>
        <w:rFonts w:ascii="Symbol" w:hAnsi="Symbol" w:hint="default"/>
      </w:rPr>
    </w:lvl>
    <w:lvl w:ilvl="4" w:tplc="041B0003" w:tentative="1">
      <w:start w:val="1"/>
      <w:numFmt w:val="bullet"/>
      <w:lvlText w:val="o"/>
      <w:lvlJc w:val="left"/>
      <w:pPr>
        <w:ind w:left="4054" w:hanging="360"/>
      </w:pPr>
      <w:rPr>
        <w:rFonts w:ascii="Courier New" w:hAnsi="Courier New" w:cs="Courier New" w:hint="default"/>
      </w:rPr>
    </w:lvl>
    <w:lvl w:ilvl="5" w:tplc="041B0005" w:tentative="1">
      <w:start w:val="1"/>
      <w:numFmt w:val="bullet"/>
      <w:lvlText w:val=""/>
      <w:lvlJc w:val="left"/>
      <w:pPr>
        <w:ind w:left="4774" w:hanging="360"/>
      </w:pPr>
      <w:rPr>
        <w:rFonts w:ascii="Wingdings" w:hAnsi="Wingdings" w:hint="default"/>
      </w:rPr>
    </w:lvl>
    <w:lvl w:ilvl="6" w:tplc="041B0001" w:tentative="1">
      <w:start w:val="1"/>
      <w:numFmt w:val="bullet"/>
      <w:lvlText w:val=""/>
      <w:lvlJc w:val="left"/>
      <w:pPr>
        <w:ind w:left="5494" w:hanging="360"/>
      </w:pPr>
      <w:rPr>
        <w:rFonts w:ascii="Symbol" w:hAnsi="Symbol" w:hint="default"/>
      </w:rPr>
    </w:lvl>
    <w:lvl w:ilvl="7" w:tplc="041B0003" w:tentative="1">
      <w:start w:val="1"/>
      <w:numFmt w:val="bullet"/>
      <w:lvlText w:val="o"/>
      <w:lvlJc w:val="left"/>
      <w:pPr>
        <w:ind w:left="6214" w:hanging="360"/>
      </w:pPr>
      <w:rPr>
        <w:rFonts w:ascii="Courier New" w:hAnsi="Courier New" w:cs="Courier New" w:hint="default"/>
      </w:rPr>
    </w:lvl>
    <w:lvl w:ilvl="8" w:tplc="041B0005" w:tentative="1">
      <w:start w:val="1"/>
      <w:numFmt w:val="bullet"/>
      <w:lvlText w:val=""/>
      <w:lvlJc w:val="left"/>
      <w:pPr>
        <w:ind w:left="6934" w:hanging="360"/>
      </w:pPr>
      <w:rPr>
        <w:rFonts w:ascii="Wingdings" w:hAnsi="Wingdings" w:hint="default"/>
      </w:rPr>
    </w:lvl>
  </w:abstractNum>
  <w:abstractNum w:abstractNumId="36">
    <w:nsid w:val="7539615B"/>
    <w:multiLevelType w:val="hybridMultilevel"/>
    <w:tmpl w:val="DE96B1C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754D60A6"/>
    <w:multiLevelType w:val="hybridMultilevel"/>
    <w:tmpl w:val="4ED48BCC"/>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8">
    <w:nsid w:val="755626AB"/>
    <w:multiLevelType w:val="multilevel"/>
    <w:tmpl w:val="3D78946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87E4D50"/>
    <w:multiLevelType w:val="hybridMultilevel"/>
    <w:tmpl w:val="92AAF0B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7"/>
  </w:num>
  <w:num w:numId="2">
    <w:abstractNumId w:val="31"/>
  </w:num>
  <w:num w:numId="3">
    <w:abstractNumId w:val="4"/>
  </w:num>
  <w:num w:numId="4">
    <w:abstractNumId w:val="25"/>
  </w:num>
  <w:num w:numId="5">
    <w:abstractNumId w:val="36"/>
  </w:num>
  <w:num w:numId="6">
    <w:abstractNumId w:val="10"/>
  </w:num>
  <w:num w:numId="7">
    <w:abstractNumId w:val="15"/>
  </w:num>
  <w:num w:numId="8">
    <w:abstractNumId w:val="32"/>
  </w:num>
  <w:num w:numId="9">
    <w:abstractNumId w:val="14"/>
  </w:num>
  <w:num w:numId="10">
    <w:abstractNumId w:val="12"/>
  </w:num>
  <w:num w:numId="11">
    <w:abstractNumId w:val="26"/>
  </w:num>
  <w:num w:numId="12">
    <w:abstractNumId w:val="37"/>
  </w:num>
  <w:num w:numId="13">
    <w:abstractNumId w:val="5"/>
  </w:num>
  <w:num w:numId="14">
    <w:abstractNumId w:val="24"/>
  </w:num>
  <w:num w:numId="15">
    <w:abstractNumId w:val="35"/>
  </w:num>
  <w:num w:numId="16">
    <w:abstractNumId w:val="38"/>
  </w:num>
  <w:num w:numId="17">
    <w:abstractNumId w:val="0"/>
  </w:num>
  <w:num w:numId="18">
    <w:abstractNumId w:val="27"/>
  </w:num>
  <w:num w:numId="19">
    <w:abstractNumId w:val="13"/>
  </w:num>
  <w:num w:numId="20">
    <w:abstractNumId w:val="19"/>
  </w:num>
  <w:num w:numId="21">
    <w:abstractNumId w:val="33"/>
  </w:num>
  <w:num w:numId="22">
    <w:abstractNumId w:val="30"/>
  </w:num>
  <w:num w:numId="23">
    <w:abstractNumId w:val="21"/>
  </w:num>
  <w:num w:numId="24">
    <w:abstractNumId w:val="20"/>
  </w:num>
  <w:num w:numId="25">
    <w:abstractNumId w:val="29"/>
  </w:num>
  <w:num w:numId="26">
    <w:abstractNumId w:val="17"/>
  </w:num>
  <w:num w:numId="27">
    <w:abstractNumId w:val="2"/>
  </w:num>
  <w:num w:numId="28">
    <w:abstractNumId w:val="1"/>
  </w:num>
  <w:num w:numId="29">
    <w:abstractNumId w:val="16"/>
  </w:num>
  <w:num w:numId="30">
    <w:abstractNumId w:val="34"/>
  </w:num>
  <w:num w:numId="31">
    <w:abstractNumId w:val="28"/>
  </w:num>
  <w:num w:numId="32">
    <w:abstractNumId w:val="8"/>
  </w:num>
  <w:num w:numId="33">
    <w:abstractNumId w:val="11"/>
  </w:num>
  <w:num w:numId="34">
    <w:abstractNumId w:val="39"/>
  </w:num>
  <w:num w:numId="35">
    <w:abstractNumId w:val="3"/>
  </w:num>
  <w:num w:numId="36">
    <w:abstractNumId w:val="6"/>
  </w:num>
  <w:num w:numId="37">
    <w:abstractNumId w:val="18"/>
  </w:num>
  <w:num w:numId="38">
    <w:abstractNumId w:val="9"/>
  </w:num>
  <w:num w:numId="39">
    <w:abstractNumId w:val="22"/>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E7E"/>
    <w:rsid w:val="000002FE"/>
    <w:rsid w:val="000004B5"/>
    <w:rsid w:val="00000F83"/>
    <w:rsid w:val="0000168A"/>
    <w:rsid w:val="000019B4"/>
    <w:rsid w:val="000019FD"/>
    <w:rsid w:val="00001B68"/>
    <w:rsid w:val="00001D2A"/>
    <w:rsid w:val="00001EDB"/>
    <w:rsid w:val="000024D0"/>
    <w:rsid w:val="000024EB"/>
    <w:rsid w:val="0000266C"/>
    <w:rsid w:val="00002A33"/>
    <w:rsid w:val="00002AD8"/>
    <w:rsid w:val="00002D79"/>
    <w:rsid w:val="00002F67"/>
    <w:rsid w:val="00002FFE"/>
    <w:rsid w:val="00003197"/>
    <w:rsid w:val="00003995"/>
    <w:rsid w:val="00003A3D"/>
    <w:rsid w:val="00004662"/>
    <w:rsid w:val="00005201"/>
    <w:rsid w:val="000052FE"/>
    <w:rsid w:val="0000543F"/>
    <w:rsid w:val="00005B8E"/>
    <w:rsid w:val="000061BF"/>
    <w:rsid w:val="00006226"/>
    <w:rsid w:val="000067D8"/>
    <w:rsid w:val="00006924"/>
    <w:rsid w:val="00007157"/>
    <w:rsid w:val="000073D2"/>
    <w:rsid w:val="0000750B"/>
    <w:rsid w:val="00007A7C"/>
    <w:rsid w:val="000101C1"/>
    <w:rsid w:val="0001028A"/>
    <w:rsid w:val="000107AA"/>
    <w:rsid w:val="000107C2"/>
    <w:rsid w:val="00010AC8"/>
    <w:rsid w:val="00010D2D"/>
    <w:rsid w:val="00010E7F"/>
    <w:rsid w:val="00010FAE"/>
    <w:rsid w:val="00011149"/>
    <w:rsid w:val="00011471"/>
    <w:rsid w:val="00011981"/>
    <w:rsid w:val="00011988"/>
    <w:rsid w:val="00011CA0"/>
    <w:rsid w:val="0001224B"/>
    <w:rsid w:val="00012A2D"/>
    <w:rsid w:val="00012D0A"/>
    <w:rsid w:val="00012DCF"/>
    <w:rsid w:val="000132DF"/>
    <w:rsid w:val="00013503"/>
    <w:rsid w:val="0001397C"/>
    <w:rsid w:val="00013B60"/>
    <w:rsid w:val="00013D72"/>
    <w:rsid w:val="00013E98"/>
    <w:rsid w:val="00014093"/>
    <w:rsid w:val="00014FD7"/>
    <w:rsid w:val="000150A6"/>
    <w:rsid w:val="00015286"/>
    <w:rsid w:val="00015DC8"/>
    <w:rsid w:val="00016285"/>
    <w:rsid w:val="000165AF"/>
    <w:rsid w:val="000165FF"/>
    <w:rsid w:val="000169DC"/>
    <w:rsid w:val="00016A0A"/>
    <w:rsid w:val="000170B1"/>
    <w:rsid w:val="00017585"/>
    <w:rsid w:val="000177C4"/>
    <w:rsid w:val="00017808"/>
    <w:rsid w:val="00017F65"/>
    <w:rsid w:val="00020C3E"/>
    <w:rsid w:val="00020EEC"/>
    <w:rsid w:val="00020EF5"/>
    <w:rsid w:val="00020EF8"/>
    <w:rsid w:val="0002125B"/>
    <w:rsid w:val="00021835"/>
    <w:rsid w:val="00021C9F"/>
    <w:rsid w:val="00021E83"/>
    <w:rsid w:val="00021EF3"/>
    <w:rsid w:val="00022DE0"/>
    <w:rsid w:val="000231D0"/>
    <w:rsid w:val="0002346A"/>
    <w:rsid w:val="00023531"/>
    <w:rsid w:val="00023B1B"/>
    <w:rsid w:val="00023C55"/>
    <w:rsid w:val="00023D67"/>
    <w:rsid w:val="000246B6"/>
    <w:rsid w:val="000247FB"/>
    <w:rsid w:val="00024991"/>
    <w:rsid w:val="000249D3"/>
    <w:rsid w:val="00024CD3"/>
    <w:rsid w:val="00025A64"/>
    <w:rsid w:val="00025BAD"/>
    <w:rsid w:val="00025E7D"/>
    <w:rsid w:val="000266E1"/>
    <w:rsid w:val="0002683D"/>
    <w:rsid w:val="00026A90"/>
    <w:rsid w:val="00026B0D"/>
    <w:rsid w:val="00026DF1"/>
    <w:rsid w:val="0002755C"/>
    <w:rsid w:val="00027574"/>
    <w:rsid w:val="0002764D"/>
    <w:rsid w:val="0002784C"/>
    <w:rsid w:val="00027920"/>
    <w:rsid w:val="00027B85"/>
    <w:rsid w:val="00027F81"/>
    <w:rsid w:val="00030034"/>
    <w:rsid w:val="0003042C"/>
    <w:rsid w:val="00030436"/>
    <w:rsid w:val="000304B1"/>
    <w:rsid w:val="00030AE6"/>
    <w:rsid w:val="000315BF"/>
    <w:rsid w:val="00031932"/>
    <w:rsid w:val="00031DB8"/>
    <w:rsid w:val="0003234F"/>
    <w:rsid w:val="000325AB"/>
    <w:rsid w:val="00032777"/>
    <w:rsid w:val="000329A8"/>
    <w:rsid w:val="000329C7"/>
    <w:rsid w:val="00033335"/>
    <w:rsid w:val="00033977"/>
    <w:rsid w:val="0003412A"/>
    <w:rsid w:val="00034723"/>
    <w:rsid w:val="00034757"/>
    <w:rsid w:val="00034814"/>
    <w:rsid w:val="00034926"/>
    <w:rsid w:val="00034F7E"/>
    <w:rsid w:val="000355B7"/>
    <w:rsid w:val="000356AE"/>
    <w:rsid w:val="0003594C"/>
    <w:rsid w:val="00035A2E"/>
    <w:rsid w:val="000363DA"/>
    <w:rsid w:val="00036434"/>
    <w:rsid w:val="00036CC7"/>
    <w:rsid w:val="00036CFE"/>
    <w:rsid w:val="0003728A"/>
    <w:rsid w:val="000372FA"/>
    <w:rsid w:val="00037E0E"/>
    <w:rsid w:val="00040585"/>
    <w:rsid w:val="000407E0"/>
    <w:rsid w:val="00040FC9"/>
    <w:rsid w:val="000413BC"/>
    <w:rsid w:val="00041809"/>
    <w:rsid w:val="00041C87"/>
    <w:rsid w:val="00042410"/>
    <w:rsid w:val="00042BC4"/>
    <w:rsid w:val="0004328A"/>
    <w:rsid w:val="00043335"/>
    <w:rsid w:val="00043512"/>
    <w:rsid w:val="00043727"/>
    <w:rsid w:val="00043A57"/>
    <w:rsid w:val="00043DCE"/>
    <w:rsid w:val="00043F8D"/>
    <w:rsid w:val="000440F2"/>
    <w:rsid w:val="000442E2"/>
    <w:rsid w:val="00044300"/>
    <w:rsid w:val="00044AC7"/>
    <w:rsid w:val="00044BF7"/>
    <w:rsid w:val="00044FA7"/>
    <w:rsid w:val="00045558"/>
    <w:rsid w:val="00045BA7"/>
    <w:rsid w:val="00045C1C"/>
    <w:rsid w:val="00045FEA"/>
    <w:rsid w:val="00046CB4"/>
    <w:rsid w:val="00046E0A"/>
    <w:rsid w:val="00046FB9"/>
    <w:rsid w:val="000474F0"/>
    <w:rsid w:val="000478D9"/>
    <w:rsid w:val="000478EA"/>
    <w:rsid w:val="00047E18"/>
    <w:rsid w:val="00047EE5"/>
    <w:rsid w:val="0005019E"/>
    <w:rsid w:val="0005038A"/>
    <w:rsid w:val="00050418"/>
    <w:rsid w:val="000507E1"/>
    <w:rsid w:val="00051207"/>
    <w:rsid w:val="00051445"/>
    <w:rsid w:val="00051E08"/>
    <w:rsid w:val="0005203A"/>
    <w:rsid w:val="000521A4"/>
    <w:rsid w:val="000522A4"/>
    <w:rsid w:val="0005269D"/>
    <w:rsid w:val="000526E6"/>
    <w:rsid w:val="00052D01"/>
    <w:rsid w:val="00053043"/>
    <w:rsid w:val="000532EF"/>
    <w:rsid w:val="000534FF"/>
    <w:rsid w:val="000536BC"/>
    <w:rsid w:val="00053BAE"/>
    <w:rsid w:val="00053D22"/>
    <w:rsid w:val="00053F1B"/>
    <w:rsid w:val="0005442F"/>
    <w:rsid w:val="00054C7B"/>
    <w:rsid w:val="00055244"/>
    <w:rsid w:val="000552AB"/>
    <w:rsid w:val="0005534E"/>
    <w:rsid w:val="0005556D"/>
    <w:rsid w:val="000568EA"/>
    <w:rsid w:val="00056A37"/>
    <w:rsid w:val="00056F92"/>
    <w:rsid w:val="00056FBD"/>
    <w:rsid w:val="00057385"/>
    <w:rsid w:val="000573E0"/>
    <w:rsid w:val="00057AEE"/>
    <w:rsid w:val="00057F73"/>
    <w:rsid w:val="000601F6"/>
    <w:rsid w:val="0006025D"/>
    <w:rsid w:val="00060287"/>
    <w:rsid w:val="00060878"/>
    <w:rsid w:val="00060B56"/>
    <w:rsid w:val="00060F7E"/>
    <w:rsid w:val="0006112C"/>
    <w:rsid w:val="000615CC"/>
    <w:rsid w:val="00061740"/>
    <w:rsid w:val="00061E33"/>
    <w:rsid w:val="00061EF6"/>
    <w:rsid w:val="000623CE"/>
    <w:rsid w:val="00062487"/>
    <w:rsid w:val="00062C96"/>
    <w:rsid w:val="00062F64"/>
    <w:rsid w:val="00062FC3"/>
    <w:rsid w:val="0006321F"/>
    <w:rsid w:val="000632F8"/>
    <w:rsid w:val="000636A1"/>
    <w:rsid w:val="000636E7"/>
    <w:rsid w:val="00063A1F"/>
    <w:rsid w:val="00063A5D"/>
    <w:rsid w:val="00063BB1"/>
    <w:rsid w:val="0006404C"/>
    <w:rsid w:val="0006430F"/>
    <w:rsid w:val="000646E6"/>
    <w:rsid w:val="00064C9D"/>
    <w:rsid w:val="00064FD1"/>
    <w:rsid w:val="0006516B"/>
    <w:rsid w:val="000651F3"/>
    <w:rsid w:val="00065E9D"/>
    <w:rsid w:val="00065EAE"/>
    <w:rsid w:val="00065F91"/>
    <w:rsid w:val="0006624F"/>
    <w:rsid w:val="00066BB7"/>
    <w:rsid w:val="00066BDB"/>
    <w:rsid w:val="0006732F"/>
    <w:rsid w:val="0006736F"/>
    <w:rsid w:val="00067511"/>
    <w:rsid w:val="000675BC"/>
    <w:rsid w:val="000676BE"/>
    <w:rsid w:val="000677E5"/>
    <w:rsid w:val="000678E1"/>
    <w:rsid w:val="00067E88"/>
    <w:rsid w:val="00070012"/>
    <w:rsid w:val="000700D3"/>
    <w:rsid w:val="0007131A"/>
    <w:rsid w:val="0007157E"/>
    <w:rsid w:val="00071691"/>
    <w:rsid w:val="0007185B"/>
    <w:rsid w:val="000718DE"/>
    <w:rsid w:val="00071C8B"/>
    <w:rsid w:val="00072612"/>
    <w:rsid w:val="00072680"/>
    <w:rsid w:val="00072B3F"/>
    <w:rsid w:val="00072F4C"/>
    <w:rsid w:val="0007374E"/>
    <w:rsid w:val="00073AED"/>
    <w:rsid w:val="00073C0B"/>
    <w:rsid w:val="00073CEF"/>
    <w:rsid w:val="00073D7F"/>
    <w:rsid w:val="000740CD"/>
    <w:rsid w:val="000741A2"/>
    <w:rsid w:val="0007426E"/>
    <w:rsid w:val="00074540"/>
    <w:rsid w:val="000746A9"/>
    <w:rsid w:val="00074C37"/>
    <w:rsid w:val="000754C9"/>
    <w:rsid w:val="00075726"/>
    <w:rsid w:val="0007582B"/>
    <w:rsid w:val="000758AB"/>
    <w:rsid w:val="00075A97"/>
    <w:rsid w:val="00075E5C"/>
    <w:rsid w:val="00075E96"/>
    <w:rsid w:val="00077517"/>
    <w:rsid w:val="000775F9"/>
    <w:rsid w:val="00077C41"/>
    <w:rsid w:val="00077F92"/>
    <w:rsid w:val="000801F1"/>
    <w:rsid w:val="000802AE"/>
    <w:rsid w:val="000804CC"/>
    <w:rsid w:val="000805CD"/>
    <w:rsid w:val="00080F3A"/>
    <w:rsid w:val="000813A5"/>
    <w:rsid w:val="00081D9E"/>
    <w:rsid w:val="000828E8"/>
    <w:rsid w:val="00082C7B"/>
    <w:rsid w:val="00083161"/>
    <w:rsid w:val="000832A5"/>
    <w:rsid w:val="00083331"/>
    <w:rsid w:val="000841BC"/>
    <w:rsid w:val="0008429A"/>
    <w:rsid w:val="000859CA"/>
    <w:rsid w:val="00085A5E"/>
    <w:rsid w:val="00086225"/>
    <w:rsid w:val="0008684C"/>
    <w:rsid w:val="00086D17"/>
    <w:rsid w:val="00086DEB"/>
    <w:rsid w:val="00087017"/>
    <w:rsid w:val="00087182"/>
    <w:rsid w:val="000877F1"/>
    <w:rsid w:val="000879F6"/>
    <w:rsid w:val="00087D89"/>
    <w:rsid w:val="00087E3B"/>
    <w:rsid w:val="00090020"/>
    <w:rsid w:val="00090110"/>
    <w:rsid w:val="00090190"/>
    <w:rsid w:val="000902C2"/>
    <w:rsid w:val="00090419"/>
    <w:rsid w:val="00090848"/>
    <w:rsid w:val="0009086B"/>
    <w:rsid w:val="0009095B"/>
    <w:rsid w:val="00090C2D"/>
    <w:rsid w:val="00090C33"/>
    <w:rsid w:val="00090F1A"/>
    <w:rsid w:val="000910DC"/>
    <w:rsid w:val="0009171C"/>
    <w:rsid w:val="00091EA4"/>
    <w:rsid w:val="000921E8"/>
    <w:rsid w:val="00092246"/>
    <w:rsid w:val="00092411"/>
    <w:rsid w:val="00092634"/>
    <w:rsid w:val="00092649"/>
    <w:rsid w:val="00092998"/>
    <w:rsid w:val="00092A6D"/>
    <w:rsid w:val="00092D43"/>
    <w:rsid w:val="00092D9F"/>
    <w:rsid w:val="00092E76"/>
    <w:rsid w:val="000931C5"/>
    <w:rsid w:val="000934DF"/>
    <w:rsid w:val="000935BE"/>
    <w:rsid w:val="00093AAC"/>
    <w:rsid w:val="00093F95"/>
    <w:rsid w:val="0009404C"/>
    <w:rsid w:val="00094202"/>
    <w:rsid w:val="0009428C"/>
    <w:rsid w:val="0009468A"/>
    <w:rsid w:val="00094724"/>
    <w:rsid w:val="00094826"/>
    <w:rsid w:val="00094DA4"/>
    <w:rsid w:val="00094E85"/>
    <w:rsid w:val="000953E3"/>
    <w:rsid w:val="000959D9"/>
    <w:rsid w:val="00095C16"/>
    <w:rsid w:val="00095EB9"/>
    <w:rsid w:val="00096147"/>
    <w:rsid w:val="00096359"/>
    <w:rsid w:val="000964B2"/>
    <w:rsid w:val="00096D09"/>
    <w:rsid w:val="0009722B"/>
    <w:rsid w:val="00097680"/>
    <w:rsid w:val="000976BD"/>
    <w:rsid w:val="00097C0D"/>
    <w:rsid w:val="00097C11"/>
    <w:rsid w:val="000A0577"/>
    <w:rsid w:val="000A05B8"/>
    <w:rsid w:val="000A1242"/>
    <w:rsid w:val="000A16D2"/>
    <w:rsid w:val="000A1767"/>
    <w:rsid w:val="000A17B5"/>
    <w:rsid w:val="000A1E7C"/>
    <w:rsid w:val="000A1EA9"/>
    <w:rsid w:val="000A2016"/>
    <w:rsid w:val="000A2039"/>
    <w:rsid w:val="000A2656"/>
    <w:rsid w:val="000A2CA5"/>
    <w:rsid w:val="000A30F1"/>
    <w:rsid w:val="000A3343"/>
    <w:rsid w:val="000A3998"/>
    <w:rsid w:val="000A3A94"/>
    <w:rsid w:val="000A3CA7"/>
    <w:rsid w:val="000A41FC"/>
    <w:rsid w:val="000A4D0C"/>
    <w:rsid w:val="000A588F"/>
    <w:rsid w:val="000A5AC8"/>
    <w:rsid w:val="000A5C90"/>
    <w:rsid w:val="000A5CCD"/>
    <w:rsid w:val="000A5F6E"/>
    <w:rsid w:val="000A612F"/>
    <w:rsid w:val="000A6321"/>
    <w:rsid w:val="000A6432"/>
    <w:rsid w:val="000A6D35"/>
    <w:rsid w:val="000A7419"/>
    <w:rsid w:val="000A7802"/>
    <w:rsid w:val="000A7B64"/>
    <w:rsid w:val="000A7DD7"/>
    <w:rsid w:val="000A7DDC"/>
    <w:rsid w:val="000A7EE1"/>
    <w:rsid w:val="000B01E4"/>
    <w:rsid w:val="000B03B4"/>
    <w:rsid w:val="000B060E"/>
    <w:rsid w:val="000B0675"/>
    <w:rsid w:val="000B0742"/>
    <w:rsid w:val="000B08EE"/>
    <w:rsid w:val="000B0AE7"/>
    <w:rsid w:val="000B0AF6"/>
    <w:rsid w:val="000B0CD6"/>
    <w:rsid w:val="000B0E54"/>
    <w:rsid w:val="000B0EF8"/>
    <w:rsid w:val="000B12E2"/>
    <w:rsid w:val="000B164A"/>
    <w:rsid w:val="000B1A96"/>
    <w:rsid w:val="000B1BF3"/>
    <w:rsid w:val="000B1D3C"/>
    <w:rsid w:val="000B20D0"/>
    <w:rsid w:val="000B23AD"/>
    <w:rsid w:val="000B281B"/>
    <w:rsid w:val="000B2A4B"/>
    <w:rsid w:val="000B3454"/>
    <w:rsid w:val="000B3956"/>
    <w:rsid w:val="000B3DAA"/>
    <w:rsid w:val="000B47B0"/>
    <w:rsid w:val="000B4901"/>
    <w:rsid w:val="000B4EFE"/>
    <w:rsid w:val="000B5242"/>
    <w:rsid w:val="000B6CFD"/>
    <w:rsid w:val="000B6E8C"/>
    <w:rsid w:val="000B7097"/>
    <w:rsid w:val="000B75EF"/>
    <w:rsid w:val="000B77A0"/>
    <w:rsid w:val="000B7D17"/>
    <w:rsid w:val="000B7D8E"/>
    <w:rsid w:val="000B7E72"/>
    <w:rsid w:val="000C02A9"/>
    <w:rsid w:val="000C076F"/>
    <w:rsid w:val="000C084A"/>
    <w:rsid w:val="000C0E07"/>
    <w:rsid w:val="000C16D1"/>
    <w:rsid w:val="000C17F4"/>
    <w:rsid w:val="000C1A96"/>
    <w:rsid w:val="000C33A8"/>
    <w:rsid w:val="000C3573"/>
    <w:rsid w:val="000C3645"/>
    <w:rsid w:val="000C3912"/>
    <w:rsid w:val="000C3BC0"/>
    <w:rsid w:val="000C3D95"/>
    <w:rsid w:val="000C3DF8"/>
    <w:rsid w:val="000C3EB5"/>
    <w:rsid w:val="000C3FED"/>
    <w:rsid w:val="000C421B"/>
    <w:rsid w:val="000C4260"/>
    <w:rsid w:val="000C4615"/>
    <w:rsid w:val="000C4E6D"/>
    <w:rsid w:val="000C52B4"/>
    <w:rsid w:val="000C5B19"/>
    <w:rsid w:val="000C6368"/>
    <w:rsid w:val="000C6387"/>
    <w:rsid w:val="000C65D3"/>
    <w:rsid w:val="000C6CD1"/>
    <w:rsid w:val="000C6E6F"/>
    <w:rsid w:val="000C6F60"/>
    <w:rsid w:val="000C6FAA"/>
    <w:rsid w:val="000C744B"/>
    <w:rsid w:val="000C75CB"/>
    <w:rsid w:val="000C75E6"/>
    <w:rsid w:val="000C7832"/>
    <w:rsid w:val="000C7BD2"/>
    <w:rsid w:val="000C7EA8"/>
    <w:rsid w:val="000D0A9D"/>
    <w:rsid w:val="000D0DFD"/>
    <w:rsid w:val="000D1349"/>
    <w:rsid w:val="000D164A"/>
    <w:rsid w:val="000D257E"/>
    <w:rsid w:val="000D279E"/>
    <w:rsid w:val="000D2C44"/>
    <w:rsid w:val="000D2DB7"/>
    <w:rsid w:val="000D2EA7"/>
    <w:rsid w:val="000D3116"/>
    <w:rsid w:val="000D34DC"/>
    <w:rsid w:val="000D3935"/>
    <w:rsid w:val="000D3C73"/>
    <w:rsid w:val="000D4215"/>
    <w:rsid w:val="000D44E1"/>
    <w:rsid w:val="000D4F1E"/>
    <w:rsid w:val="000D5203"/>
    <w:rsid w:val="000D54D1"/>
    <w:rsid w:val="000D5579"/>
    <w:rsid w:val="000D5849"/>
    <w:rsid w:val="000D5AF1"/>
    <w:rsid w:val="000D5D8A"/>
    <w:rsid w:val="000D643B"/>
    <w:rsid w:val="000D6463"/>
    <w:rsid w:val="000D69D2"/>
    <w:rsid w:val="000D6D75"/>
    <w:rsid w:val="000D717D"/>
    <w:rsid w:val="000D721E"/>
    <w:rsid w:val="000D72DD"/>
    <w:rsid w:val="000D76E6"/>
    <w:rsid w:val="000D7B23"/>
    <w:rsid w:val="000D7C88"/>
    <w:rsid w:val="000D7E21"/>
    <w:rsid w:val="000E046C"/>
    <w:rsid w:val="000E0654"/>
    <w:rsid w:val="000E086E"/>
    <w:rsid w:val="000E0A3C"/>
    <w:rsid w:val="000E0B91"/>
    <w:rsid w:val="000E0D25"/>
    <w:rsid w:val="000E1F97"/>
    <w:rsid w:val="000E204E"/>
    <w:rsid w:val="000E221C"/>
    <w:rsid w:val="000E2608"/>
    <w:rsid w:val="000E2AB2"/>
    <w:rsid w:val="000E2C69"/>
    <w:rsid w:val="000E2CBC"/>
    <w:rsid w:val="000E2F3D"/>
    <w:rsid w:val="000E2FFB"/>
    <w:rsid w:val="000E33C5"/>
    <w:rsid w:val="000E35E6"/>
    <w:rsid w:val="000E3993"/>
    <w:rsid w:val="000E3C7F"/>
    <w:rsid w:val="000E3D9F"/>
    <w:rsid w:val="000E3F86"/>
    <w:rsid w:val="000E4219"/>
    <w:rsid w:val="000E4438"/>
    <w:rsid w:val="000E46DA"/>
    <w:rsid w:val="000E4CD4"/>
    <w:rsid w:val="000E4CED"/>
    <w:rsid w:val="000E5090"/>
    <w:rsid w:val="000E50C0"/>
    <w:rsid w:val="000E50FB"/>
    <w:rsid w:val="000E52F6"/>
    <w:rsid w:val="000E5AA9"/>
    <w:rsid w:val="000E5B4D"/>
    <w:rsid w:val="000E61CF"/>
    <w:rsid w:val="000E63C3"/>
    <w:rsid w:val="000E6C3B"/>
    <w:rsid w:val="000E6D48"/>
    <w:rsid w:val="000E701B"/>
    <w:rsid w:val="000E7120"/>
    <w:rsid w:val="000E75D6"/>
    <w:rsid w:val="000E7669"/>
    <w:rsid w:val="000E7B35"/>
    <w:rsid w:val="000E7B4B"/>
    <w:rsid w:val="000E7B4F"/>
    <w:rsid w:val="000E7B65"/>
    <w:rsid w:val="000E7C9B"/>
    <w:rsid w:val="000E7D35"/>
    <w:rsid w:val="000E7DCB"/>
    <w:rsid w:val="000F017D"/>
    <w:rsid w:val="000F052F"/>
    <w:rsid w:val="000F0550"/>
    <w:rsid w:val="000F0607"/>
    <w:rsid w:val="000F0A33"/>
    <w:rsid w:val="000F0DAA"/>
    <w:rsid w:val="000F0E89"/>
    <w:rsid w:val="000F10CE"/>
    <w:rsid w:val="000F1784"/>
    <w:rsid w:val="000F1D6E"/>
    <w:rsid w:val="000F25A0"/>
    <w:rsid w:val="000F2A89"/>
    <w:rsid w:val="000F2B0C"/>
    <w:rsid w:val="000F3172"/>
    <w:rsid w:val="000F31CE"/>
    <w:rsid w:val="000F3386"/>
    <w:rsid w:val="000F3AEF"/>
    <w:rsid w:val="000F3C23"/>
    <w:rsid w:val="000F3E7D"/>
    <w:rsid w:val="000F41D7"/>
    <w:rsid w:val="000F4537"/>
    <w:rsid w:val="000F45A1"/>
    <w:rsid w:val="000F4AB6"/>
    <w:rsid w:val="000F4B3C"/>
    <w:rsid w:val="000F4FE1"/>
    <w:rsid w:val="000F533B"/>
    <w:rsid w:val="000F55F4"/>
    <w:rsid w:val="000F5667"/>
    <w:rsid w:val="000F630F"/>
    <w:rsid w:val="000F6A54"/>
    <w:rsid w:val="000F6D32"/>
    <w:rsid w:val="000F79E4"/>
    <w:rsid w:val="00100374"/>
    <w:rsid w:val="001003C3"/>
    <w:rsid w:val="00100636"/>
    <w:rsid w:val="00100904"/>
    <w:rsid w:val="0010137B"/>
    <w:rsid w:val="001013BB"/>
    <w:rsid w:val="0010154C"/>
    <w:rsid w:val="00101609"/>
    <w:rsid w:val="00101E02"/>
    <w:rsid w:val="00102024"/>
    <w:rsid w:val="001025AF"/>
    <w:rsid w:val="0010264B"/>
    <w:rsid w:val="0010270B"/>
    <w:rsid w:val="00103219"/>
    <w:rsid w:val="001033DD"/>
    <w:rsid w:val="0010392A"/>
    <w:rsid w:val="00103A44"/>
    <w:rsid w:val="00103D12"/>
    <w:rsid w:val="00103E51"/>
    <w:rsid w:val="00103E59"/>
    <w:rsid w:val="001041C1"/>
    <w:rsid w:val="00104230"/>
    <w:rsid w:val="0010438D"/>
    <w:rsid w:val="001043DF"/>
    <w:rsid w:val="00104469"/>
    <w:rsid w:val="00104AE5"/>
    <w:rsid w:val="00104D80"/>
    <w:rsid w:val="00104E78"/>
    <w:rsid w:val="00105353"/>
    <w:rsid w:val="00105DC2"/>
    <w:rsid w:val="00106076"/>
    <w:rsid w:val="0010623C"/>
    <w:rsid w:val="0010632A"/>
    <w:rsid w:val="00106514"/>
    <w:rsid w:val="00106704"/>
    <w:rsid w:val="001068A3"/>
    <w:rsid w:val="0010691E"/>
    <w:rsid w:val="00106CB2"/>
    <w:rsid w:val="00106E11"/>
    <w:rsid w:val="0010760F"/>
    <w:rsid w:val="00107760"/>
    <w:rsid w:val="00107D16"/>
    <w:rsid w:val="00107D5B"/>
    <w:rsid w:val="00107E3A"/>
    <w:rsid w:val="0011025B"/>
    <w:rsid w:val="0011047B"/>
    <w:rsid w:val="0011078F"/>
    <w:rsid w:val="00110A83"/>
    <w:rsid w:val="00110C24"/>
    <w:rsid w:val="00110FE4"/>
    <w:rsid w:val="0011138E"/>
    <w:rsid w:val="001117F4"/>
    <w:rsid w:val="00111C65"/>
    <w:rsid w:val="001120AC"/>
    <w:rsid w:val="0011221E"/>
    <w:rsid w:val="00112459"/>
    <w:rsid w:val="001126AA"/>
    <w:rsid w:val="0011299D"/>
    <w:rsid w:val="00112A25"/>
    <w:rsid w:val="00112D5A"/>
    <w:rsid w:val="001135E7"/>
    <w:rsid w:val="0011377E"/>
    <w:rsid w:val="001142DB"/>
    <w:rsid w:val="0011473C"/>
    <w:rsid w:val="00114C87"/>
    <w:rsid w:val="00115A4F"/>
    <w:rsid w:val="00115B74"/>
    <w:rsid w:val="00115FD6"/>
    <w:rsid w:val="0011699B"/>
    <w:rsid w:val="00117028"/>
    <w:rsid w:val="00117CF2"/>
    <w:rsid w:val="00117D7D"/>
    <w:rsid w:val="0012047D"/>
    <w:rsid w:val="001207ED"/>
    <w:rsid w:val="001208AF"/>
    <w:rsid w:val="00120970"/>
    <w:rsid w:val="001209D5"/>
    <w:rsid w:val="00120DA2"/>
    <w:rsid w:val="0012135D"/>
    <w:rsid w:val="0012141E"/>
    <w:rsid w:val="001215C7"/>
    <w:rsid w:val="0012212A"/>
    <w:rsid w:val="0012251B"/>
    <w:rsid w:val="001225F7"/>
    <w:rsid w:val="00122AF2"/>
    <w:rsid w:val="00122CD8"/>
    <w:rsid w:val="00122F62"/>
    <w:rsid w:val="0012320C"/>
    <w:rsid w:val="00123627"/>
    <w:rsid w:val="00123835"/>
    <w:rsid w:val="00123C97"/>
    <w:rsid w:val="00123E41"/>
    <w:rsid w:val="0012426B"/>
    <w:rsid w:val="0012455C"/>
    <w:rsid w:val="00124C66"/>
    <w:rsid w:val="00124F29"/>
    <w:rsid w:val="00125322"/>
    <w:rsid w:val="00125BB8"/>
    <w:rsid w:val="00126624"/>
    <w:rsid w:val="00126745"/>
    <w:rsid w:val="00126D94"/>
    <w:rsid w:val="00126F89"/>
    <w:rsid w:val="00127108"/>
    <w:rsid w:val="00127323"/>
    <w:rsid w:val="00127D22"/>
    <w:rsid w:val="001301A7"/>
    <w:rsid w:val="00130326"/>
    <w:rsid w:val="001307B6"/>
    <w:rsid w:val="001309E8"/>
    <w:rsid w:val="00130B8A"/>
    <w:rsid w:val="001313AE"/>
    <w:rsid w:val="0013184B"/>
    <w:rsid w:val="00131A5C"/>
    <w:rsid w:val="001326CC"/>
    <w:rsid w:val="001327AA"/>
    <w:rsid w:val="00133DBB"/>
    <w:rsid w:val="0013419A"/>
    <w:rsid w:val="00134C92"/>
    <w:rsid w:val="00135106"/>
    <w:rsid w:val="00135817"/>
    <w:rsid w:val="0013607E"/>
    <w:rsid w:val="001364A7"/>
    <w:rsid w:val="00137354"/>
    <w:rsid w:val="0013783B"/>
    <w:rsid w:val="00137908"/>
    <w:rsid w:val="00137A1A"/>
    <w:rsid w:val="00137B09"/>
    <w:rsid w:val="00137C14"/>
    <w:rsid w:val="00137EE4"/>
    <w:rsid w:val="00140B52"/>
    <w:rsid w:val="001411DD"/>
    <w:rsid w:val="0014198E"/>
    <w:rsid w:val="00141F54"/>
    <w:rsid w:val="0014208F"/>
    <w:rsid w:val="001428DA"/>
    <w:rsid w:val="001429F1"/>
    <w:rsid w:val="00142DE7"/>
    <w:rsid w:val="00142F36"/>
    <w:rsid w:val="0014330E"/>
    <w:rsid w:val="00143470"/>
    <w:rsid w:val="0014356E"/>
    <w:rsid w:val="001439BE"/>
    <w:rsid w:val="00143DAE"/>
    <w:rsid w:val="00143DF7"/>
    <w:rsid w:val="001449A5"/>
    <w:rsid w:val="0014543D"/>
    <w:rsid w:val="0014565D"/>
    <w:rsid w:val="001457D6"/>
    <w:rsid w:val="00145855"/>
    <w:rsid w:val="001459E1"/>
    <w:rsid w:val="00145C29"/>
    <w:rsid w:val="00145D89"/>
    <w:rsid w:val="0014632E"/>
    <w:rsid w:val="0014659C"/>
    <w:rsid w:val="00146877"/>
    <w:rsid w:val="00146D17"/>
    <w:rsid w:val="00147771"/>
    <w:rsid w:val="001478AD"/>
    <w:rsid w:val="001478C2"/>
    <w:rsid w:val="00147D6D"/>
    <w:rsid w:val="0015007C"/>
    <w:rsid w:val="0015013B"/>
    <w:rsid w:val="00150261"/>
    <w:rsid w:val="001508D7"/>
    <w:rsid w:val="00150AE4"/>
    <w:rsid w:val="00150F4D"/>
    <w:rsid w:val="00150FA8"/>
    <w:rsid w:val="00151CB2"/>
    <w:rsid w:val="00151D74"/>
    <w:rsid w:val="00151FB7"/>
    <w:rsid w:val="00152613"/>
    <w:rsid w:val="00152FC1"/>
    <w:rsid w:val="0015320F"/>
    <w:rsid w:val="00153502"/>
    <w:rsid w:val="0015365D"/>
    <w:rsid w:val="00153756"/>
    <w:rsid w:val="00153F88"/>
    <w:rsid w:val="00154374"/>
    <w:rsid w:val="00154476"/>
    <w:rsid w:val="0015447E"/>
    <w:rsid w:val="00154515"/>
    <w:rsid w:val="00154519"/>
    <w:rsid w:val="00154B4D"/>
    <w:rsid w:val="00154D14"/>
    <w:rsid w:val="00155C47"/>
    <w:rsid w:val="00155F15"/>
    <w:rsid w:val="001561D8"/>
    <w:rsid w:val="001561DA"/>
    <w:rsid w:val="00156AAF"/>
    <w:rsid w:val="001573F6"/>
    <w:rsid w:val="001576DC"/>
    <w:rsid w:val="00157DE2"/>
    <w:rsid w:val="001600F0"/>
    <w:rsid w:val="001602DE"/>
    <w:rsid w:val="001612D0"/>
    <w:rsid w:val="001613FA"/>
    <w:rsid w:val="0016172A"/>
    <w:rsid w:val="00161818"/>
    <w:rsid w:val="00161BF1"/>
    <w:rsid w:val="0016209D"/>
    <w:rsid w:val="00162215"/>
    <w:rsid w:val="0016227B"/>
    <w:rsid w:val="001628C7"/>
    <w:rsid w:val="00162A34"/>
    <w:rsid w:val="00162AF3"/>
    <w:rsid w:val="00163212"/>
    <w:rsid w:val="001632A0"/>
    <w:rsid w:val="001644CB"/>
    <w:rsid w:val="0016459D"/>
    <w:rsid w:val="001646E9"/>
    <w:rsid w:val="00164834"/>
    <w:rsid w:val="00164DCC"/>
    <w:rsid w:val="00164EAE"/>
    <w:rsid w:val="0016551E"/>
    <w:rsid w:val="00165630"/>
    <w:rsid w:val="001659B8"/>
    <w:rsid w:val="00165A28"/>
    <w:rsid w:val="00165E53"/>
    <w:rsid w:val="0016600B"/>
    <w:rsid w:val="001667CC"/>
    <w:rsid w:val="00166CE8"/>
    <w:rsid w:val="001673EB"/>
    <w:rsid w:val="001678C6"/>
    <w:rsid w:val="00167B13"/>
    <w:rsid w:val="0017052E"/>
    <w:rsid w:val="00170B50"/>
    <w:rsid w:val="00170C43"/>
    <w:rsid w:val="00170D61"/>
    <w:rsid w:val="00171003"/>
    <w:rsid w:val="001712B5"/>
    <w:rsid w:val="001713F7"/>
    <w:rsid w:val="00171B3E"/>
    <w:rsid w:val="00171C52"/>
    <w:rsid w:val="00171DC5"/>
    <w:rsid w:val="00171DD0"/>
    <w:rsid w:val="00172116"/>
    <w:rsid w:val="00172132"/>
    <w:rsid w:val="00172431"/>
    <w:rsid w:val="00172DA9"/>
    <w:rsid w:val="00172FC1"/>
    <w:rsid w:val="00173117"/>
    <w:rsid w:val="00173A74"/>
    <w:rsid w:val="001740CA"/>
    <w:rsid w:val="00174B5C"/>
    <w:rsid w:val="00174C99"/>
    <w:rsid w:val="00174D68"/>
    <w:rsid w:val="00174F46"/>
    <w:rsid w:val="001751E3"/>
    <w:rsid w:val="00175776"/>
    <w:rsid w:val="00175F07"/>
    <w:rsid w:val="001764D1"/>
    <w:rsid w:val="00176666"/>
    <w:rsid w:val="00176CFA"/>
    <w:rsid w:val="00177002"/>
    <w:rsid w:val="001779CE"/>
    <w:rsid w:val="00177ACB"/>
    <w:rsid w:val="00177D74"/>
    <w:rsid w:val="00177EEC"/>
    <w:rsid w:val="00180059"/>
    <w:rsid w:val="0018098C"/>
    <w:rsid w:val="00180B6E"/>
    <w:rsid w:val="0018157B"/>
    <w:rsid w:val="0018170C"/>
    <w:rsid w:val="00181752"/>
    <w:rsid w:val="00181889"/>
    <w:rsid w:val="0018222D"/>
    <w:rsid w:val="00182536"/>
    <w:rsid w:val="00182F21"/>
    <w:rsid w:val="00182F5A"/>
    <w:rsid w:val="00183009"/>
    <w:rsid w:val="00183200"/>
    <w:rsid w:val="001833B0"/>
    <w:rsid w:val="001836FE"/>
    <w:rsid w:val="001842E5"/>
    <w:rsid w:val="00184619"/>
    <w:rsid w:val="00185299"/>
    <w:rsid w:val="0018544C"/>
    <w:rsid w:val="0018552C"/>
    <w:rsid w:val="00185B2B"/>
    <w:rsid w:val="00185D13"/>
    <w:rsid w:val="0018654C"/>
    <w:rsid w:val="001867FA"/>
    <w:rsid w:val="0018684E"/>
    <w:rsid w:val="001873C4"/>
    <w:rsid w:val="00187660"/>
    <w:rsid w:val="00187735"/>
    <w:rsid w:val="001878BD"/>
    <w:rsid w:val="00187C7E"/>
    <w:rsid w:val="00190082"/>
    <w:rsid w:val="00190089"/>
    <w:rsid w:val="001902EA"/>
    <w:rsid w:val="00190427"/>
    <w:rsid w:val="00190538"/>
    <w:rsid w:val="00190AA9"/>
    <w:rsid w:val="00190C0A"/>
    <w:rsid w:val="00190F9C"/>
    <w:rsid w:val="001915EC"/>
    <w:rsid w:val="0019224E"/>
    <w:rsid w:val="00192453"/>
    <w:rsid w:val="00192576"/>
    <w:rsid w:val="00193440"/>
    <w:rsid w:val="00193EA4"/>
    <w:rsid w:val="00193F89"/>
    <w:rsid w:val="00194116"/>
    <w:rsid w:val="0019454A"/>
    <w:rsid w:val="00194743"/>
    <w:rsid w:val="00194BAB"/>
    <w:rsid w:val="00195387"/>
    <w:rsid w:val="001955BF"/>
    <w:rsid w:val="001973D4"/>
    <w:rsid w:val="00197EFA"/>
    <w:rsid w:val="001A00CC"/>
    <w:rsid w:val="001A065F"/>
    <w:rsid w:val="001A0E1B"/>
    <w:rsid w:val="001A0F42"/>
    <w:rsid w:val="001A1B49"/>
    <w:rsid w:val="001A1CD3"/>
    <w:rsid w:val="001A2064"/>
    <w:rsid w:val="001A22E9"/>
    <w:rsid w:val="001A25F1"/>
    <w:rsid w:val="001A2622"/>
    <w:rsid w:val="001A297C"/>
    <w:rsid w:val="001A2A55"/>
    <w:rsid w:val="001A2BDB"/>
    <w:rsid w:val="001A2FEA"/>
    <w:rsid w:val="001A2FF3"/>
    <w:rsid w:val="001A300D"/>
    <w:rsid w:val="001A3119"/>
    <w:rsid w:val="001A33E0"/>
    <w:rsid w:val="001A3456"/>
    <w:rsid w:val="001A377C"/>
    <w:rsid w:val="001A3A7B"/>
    <w:rsid w:val="001A407B"/>
    <w:rsid w:val="001A40D8"/>
    <w:rsid w:val="001A4505"/>
    <w:rsid w:val="001A46B3"/>
    <w:rsid w:val="001A48F8"/>
    <w:rsid w:val="001A4D62"/>
    <w:rsid w:val="001A5058"/>
    <w:rsid w:val="001A50F4"/>
    <w:rsid w:val="001A5401"/>
    <w:rsid w:val="001A5417"/>
    <w:rsid w:val="001A6122"/>
    <w:rsid w:val="001A663C"/>
    <w:rsid w:val="001A685D"/>
    <w:rsid w:val="001A70A1"/>
    <w:rsid w:val="001A7170"/>
    <w:rsid w:val="001A786C"/>
    <w:rsid w:val="001A78E2"/>
    <w:rsid w:val="001A7D7F"/>
    <w:rsid w:val="001B07E1"/>
    <w:rsid w:val="001B08F8"/>
    <w:rsid w:val="001B098E"/>
    <w:rsid w:val="001B09EA"/>
    <w:rsid w:val="001B1121"/>
    <w:rsid w:val="001B1269"/>
    <w:rsid w:val="001B1506"/>
    <w:rsid w:val="001B1733"/>
    <w:rsid w:val="001B1AA5"/>
    <w:rsid w:val="001B1BF9"/>
    <w:rsid w:val="001B2394"/>
    <w:rsid w:val="001B279E"/>
    <w:rsid w:val="001B28D6"/>
    <w:rsid w:val="001B2C68"/>
    <w:rsid w:val="001B308C"/>
    <w:rsid w:val="001B3678"/>
    <w:rsid w:val="001B3983"/>
    <w:rsid w:val="001B3C05"/>
    <w:rsid w:val="001B41E3"/>
    <w:rsid w:val="001B4C85"/>
    <w:rsid w:val="001B4F29"/>
    <w:rsid w:val="001B52F6"/>
    <w:rsid w:val="001B57B8"/>
    <w:rsid w:val="001B5C07"/>
    <w:rsid w:val="001B5CB2"/>
    <w:rsid w:val="001B6075"/>
    <w:rsid w:val="001B63A9"/>
    <w:rsid w:val="001B67C4"/>
    <w:rsid w:val="001B6880"/>
    <w:rsid w:val="001B68BD"/>
    <w:rsid w:val="001B706D"/>
    <w:rsid w:val="001B7941"/>
    <w:rsid w:val="001B7982"/>
    <w:rsid w:val="001B79F1"/>
    <w:rsid w:val="001B7AC4"/>
    <w:rsid w:val="001B7CAF"/>
    <w:rsid w:val="001B7FB1"/>
    <w:rsid w:val="001C033F"/>
    <w:rsid w:val="001C0541"/>
    <w:rsid w:val="001C0596"/>
    <w:rsid w:val="001C097F"/>
    <w:rsid w:val="001C11DC"/>
    <w:rsid w:val="001C1312"/>
    <w:rsid w:val="001C1A49"/>
    <w:rsid w:val="001C1DB3"/>
    <w:rsid w:val="001C2306"/>
    <w:rsid w:val="001C246C"/>
    <w:rsid w:val="001C2518"/>
    <w:rsid w:val="001C2884"/>
    <w:rsid w:val="001C2A0A"/>
    <w:rsid w:val="001C2A46"/>
    <w:rsid w:val="001C2A54"/>
    <w:rsid w:val="001C2B7D"/>
    <w:rsid w:val="001C2F7B"/>
    <w:rsid w:val="001C4120"/>
    <w:rsid w:val="001C432C"/>
    <w:rsid w:val="001C4823"/>
    <w:rsid w:val="001C4C0E"/>
    <w:rsid w:val="001C4C34"/>
    <w:rsid w:val="001C5172"/>
    <w:rsid w:val="001C64E0"/>
    <w:rsid w:val="001C6539"/>
    <w:rsid w:val="001C66EE"/>
    <w:rsid w:val="001C6930"/>
    <w:rsid w:val="001C6A24"/>
    <w:rsid w:val="001C6A97"/>
    <w:rsid w:val="001C6E2B"/>
    <w:rsid w:val="001C6F1A"/>
    <w:rsid w:val="001C6FFE"/>
    <w:rsid w:val="001C7362"/>
    <w:rsid w:val="001C742F"/>
    <w:rsid w:val="001C78D5"/>
    <w:rsid w:val="001D061F"/>
    <w:rsid w:val="001D07F5"/>
    <w:rsid w:val="001D0E5B"/>
    <w:rsid w:val="001D0EDE"/>
    <w:rsid w:val="001D0FBF"/>
    <w:rsid w:val="001D102E"/>
    <w:rsid w:val="001D1374"/>
    <w:rsid w:val="001D13E8"/>
    <w:rsid w:val="001D1A04"/>
    <w:rsid w:val="001D221A"/>
    <w:rsid w:val="001D2424"/>
    <w:rsid w:val="001D247C"/>
    <w:rsid w:val="001D2DBF"/>
    <w:rsid w:val="001D2E17"/>
    <w:rsid w:val="001D2F12"/>
    <w:rsid w:val="001D3352"/>
    <w:rsid w:val="001D340D"/>
    <w:rsid w:val="001D3828"/>
    <w:rsid w:val="001D3913"/>
    <w:rsid w:val="001D3CCC"/>
    <w:rsid w:val="001D42EC"/>
    <w:rsid w:val="001D44CD"/>
    <w:rsid w:val="001D451E"/>
    <w:rsid w:val="001D4B00"/>
    <w:rsid w:val="001D4DDB"/>
    <w:rsid w:val="001D50BE"/>
    <w:rsid w:val="001D51EB"/>
    <w:rsid w:val="001D56D5"/>
    <w:rsid w:val="001D5DF7"/>
    <w:rsid w:val="001D5EFB"/>
    <w:rsid w:val="001D6101"/>
    <w:rsid w:val="001D63C0"/>
    <w:rsid w:val="001D6AA3"/>
    <w:rsid w:val="001D6AC0"/>
    <w:rsid w:val="001D6C3E"/>
    <w:rsid w:val="001D73E9"/>
    <w:rsid w:val="001D74A3"/>
    <w:rsid w:val="001D758B"/>
    <w:rsid w:val="001D75F3"/>
    <w:rsid w:val="001D77A3"/>
    <w:rsid w:val="001D7B59"/>
    <w:rsid w:val="001D7F1C"/>
    <w:rsid w:val="001E0043"/>
    <w:rsid w:val="001E00C6"/>
    <w:rsid w:val="001E03A9"/>
    <w:rsid w:val="001E0B4F"/>
    <w:rsid w:val="001E1239"/>
    <w:rsid w:val="001E12D8"/>
    <w:rsid w:val="001E13ED"/>
    <w:rsid w:val="001E148C"/>
    <w:rsid w:val="001E1499"/>
    <w:rsid w:val="001E14B0"/>
    <w:rsid w:val="001E15DD"/>
    <w:rsid w:val="001E1700"/>
    <w:rsid w:val="001E180D"/>
    <w:rsid w:val="001E1BEC"/>
    <w:rsid w:val="001E25F9"/>
    <w:rsid w:val="001E2F94"/>
    <w:rsid w:val="001E304D"/>
    <w:rsid w:val="001E33AC"/>
    <w:rsid w:val="001E3879"/>
    <w:rsid w:val="001E391D"/>
    <w:rsid w:val="001E3D26"/>
    <w:rsid w:val="001E3F70"/>
    <w:rsid w:val="001E4E03"/>
    <w:rsid w:val="001E4E22"/>
    <w:rsid w:val="001E5779"/>
    <w:rsid w:val="001E579D"/>
    <w:rsid w:val="001E5CF1"/>
    <w:rsid w:val="001E6196"/>
    <w:rsid w:val="001E6825"/>
    <w:rsid w:val="001E68C7"/>
    <w:rsid w:val="001E6A34"/>
    <w:rsid w:val="001E6B0F"/>
    <w:rsid w:val="001E6C7C"/>
    <w:rsid w:val="001E6FF8"/>
    <w:rsid w:val="001E7376"/>
    <w:rsid w:val="001E73FF"/>
    <w:rsid w:val="001E7A37"/>
    <w:rsid w:val="001E7E65"/>
    <w:rsid w:val="001F0270"/>
    <w:rsid w:val="001F0564"/>
    <w:rsid w:val="001F0EB8"/>
    <w:rsid w:val="001F1E10"/>
    <w:rsid w:val="001F211F"/>
    <w:rsid w:val="001F21A5"/>
    <w:rsid w:val="001F224D"/>
    <w:rsid w:val="001F2423"/>
    <w:rsid w:val="001F2BDF"/>
    <w:rsid w:val="001F33FB"/>
    <w:rsid w:val="001F35D8"/>
    <w:rsid w:val="001F38F3"/>
    <w:rsid w:val="001F395C"/>
    <w:rsid w:val="001F3C13"/>
    <w:rsid w:val="001F3C18"/>
    <w:rsid w:val="001F43D5"/>
    <w:rsid w:val="001F43D9"/>
    <w:rsid w:val="001F4980"/>
    <w:rsid w:val="001F4AB7"/>
    <w:rsid w:val="001F51A6"/>
    <w:rsid w:val="001F52A5"/>
    <w:rsid w:val="001F53E0"/>
    <w:rsid w:val="001F575A"/>
    <w:rsid w:val="001F5F6E"/>
    <w:rsid w:val="001F6414"/>
    <w:rsid w:val="001F64EA"/>
    <w:rsid w:val="001F6628"/>
    <w:rsid w:val="001F696B"/>
    <w:rsid w:val="001F6C92"/>
    <w:rsid w:val="001F6DDA"/>
    <w:rsid w:val="001F72E6"/>
    <w:rsid w:val="001F74ED"/>
    <w:rsid w:val="001F7569"/>
    <w:rsid w:val="001F75B9"/>
    <w:rsid w:val="001F791A"/>
    <w:rsid w:val="001F79AA"/>
    <w:rsid w:val="001F7A61"/>
    <w:rsid w:val="001F7D92"/>
    <w:rsid w:val="002000EB"/>
    <w:rsid w:val="00200186"/>
    <w:rsid w:val="002009C6"/>
    <w:rsid w:val="00200BFC"/>
    <w:rsid w:val="00200D99"/>
    <w:rsid w:val="0020107A"/>
    <w:rsid w:val="0020157D"/>
    <w:rsid w:val="00201A90"/>
    <w:rsid w:val="00201B33"/>
    <w:rsid w:val="00201CB9"/>
    <w:rsid w:val="00201E8E"/>
    <w:rsid w:val="0020216F"/>
    <w:rsid w:val="002023FC"/>
    <w:rsid w:val="002025DB"/>
    <w:rsid w:val="002028F2"/>
    <w:rsid w:val="00202BE9"/>
    <w:rsid w:val="00202D91"/>
    <w:rsid w:val="00202EEE"/>
    <w:rsid w:val="002030D5"/>
    <w:rsid w:val="002031C1"/>
    <w:rsid w:val="002032EA"/>
    <w:rsid w:val="00203394"/>
    <w:rsid w:val="00203A71"/>
    <w:rsid w:val="0020405C"/>
    <w:rsid w:val="0020405D"/>
    <w:rsid w:val="002041F1"/>
    <w:rsid w:val="0020454B"/>
    <w:rsid w:val="00204811"/>
    <w:rsid w:val="0020487A"/>
    <w:rsid w:val="00204DA7"/>
    <w:rsid w:val="002061D6"/>
    <w:rsid w:val="00206321"/>
    <w:rsid w:val="0020635E"/>
    <w:rsid w:val="00206BC6"/>
    <w:rsid w:val="00206EC4"/>
    <w:rsid w:val="00207A92"/>
    <w:rsid w:val="00207F37"/>
    <w:rsid w:val="00207F6A"/>
    <w:rsid w:val="002103EC"/>
    <w:rsid w:val="00210AE8"/>
    <w:rsid w:val="00210DD5"/>
    <w:rsid w:val="0021102C"/>
    <w:rsid w:val="002111B9"/>
    <w:rsid w:val="002113DA"/>
    <w:rsid w:val="00211539"/>
    <w:rsid w:val="0021176D"/>
    <w:rsid w:val="0021186D"/>
    <w:rsid w:val="00211A34"/>
    <w:rsid w:val="00211C3D"/>
    <w:rsid w:val="00212431"/>
    <w:rsid w:val="00212A2E"/>
    <w:rsid w:val="00212FAD"/>
    <w:rsid w:val="002130E5"/>
    <w:rsid w:val="00213311"/>
    <w:rsid w:val="002134C3"/>
    <w:rsid w:val="002137A2"/>
    <w:rsid w:val="00213B00"/>
    <w:rsid w:val="00213E5D"/>
    <w:rsid w:val="00214374"/>
    <w:rsid w:val="002143CC"/>
    <w:rsid w:val="00214686"/>
    <w:rsid w:val="00214C30"/>
    <w:rsid w:val="00214D9E"/>
    <w:rsid w:val="00215E02"/>
    <w:rsid w:val="002164DB"/>
    <w:rsid w:val="00216669"/>
    <w:rsid w:val="002168F5"/>
    <w:rsid w:val="00216AAB"/>
    <w:rsid w:val="00216FB7"/>
    <w:rsid w:val="0021715F"/>
    <w:rsid w:val="00217526"/>
    <w:rsid w:val="002175D4"/>
    <w:rsid w:val="0021775F"/>
    <w:rsid w:val="00217AF0"/>
    <w:rsid w:val="00220199"/>
    <w:rsid w:val="0022059A"/>
    <w:rsid w:val="00220973"/>
    <w:rsid w:val="00221188"/>
    <w:rsid w:val="0022152E"/>
    <w:rsid w:val="00221813"/>
    <w:rsid w:val="00221B07"/>
    <w:rsid w:val="00221C67"/>
    <w:rsid w:val="00221FC4"/>
    <w:rsid w:val="00222263"/>
    <w:rsid w:val="00222553"/>
    <w:rsid w:val="00222A70"/>
    <w:rsid w:val="00222B91"/>
    <w:rsid w:val="00222CD6"/>
    <w:rsid w:val="00222DA5"/>
    <w:rsid w:val="002234EA"/>
    <w:rsid w:val="002236FD"/>
    <w:rsid w:val="00223C94"/>
    <w:rsid w:val="00223DC9"/>
    <w:rsid w:val="00224127"/>
    <w:rsid w:val="00224299"/>
    <w:rsid w:val="00224C16"/>
    <w:rsid w:val="002259D7"/>
    <w:rsid w:val="00225B52"/>
    <w:rsid w:val="00226506"/>
    <w:rsid w:val="002269F5"/>
    <w:rsid w:val="00226CD7"/>
    <w:rsid w:val="002274DA"/>
    <w:rsid w:val="0022763F"/>
    <w:rsid w:val="0022768B"/>
    <w:rsid w:val="002276E8"/>
    <w:rsid w:val="002301F2"/>
    <w:rsid w:val="0023052A"/>
    <w:rsid w:val="0023084C"/>
    <w:rsid w:val="002308EE"/>
    <w:rsid w:val="00230B85"/>
    <w:rsid w:val="00230DCC"/>
    <w:rsid w:val="0023199B"/>
    <w:rsid w:val="00231E07"/>
    <w:rsid w:val="0023279D"/>
    <w:rsid w:val="0023292E"/>
    <w:rsid w:val="00232C62"/>
    <w:rsid w:val="00232EDE"/>
    <w:rsid w:val="0023301B"/>
    <w:rsid w:val="002337FA"/>
    <w:rsid w:val="00233A9C"/>
    <w:rsid w:val="00233B26"/>
    <w:rsid w:val="0023419E"/>
    <w:rsid w:val="00234794"/>
    <w:rsid w:val="00235A1F"/>
    <w:rsid w:val="00235CDE"/>
    <w:rsid w:val="00235F27"/>
    <w:rsid w:val="00235FAB"/>
    <w:rsid w:val="002361A3"/>
    <w:rsid w:val="00236268"/>
    <w:rsid w:val="0023637C"/>
    <w:rsid w:val="002364E9"/>
    <w:rsid w:val="00236B71"/>
    <w:rsid w:val="00237AF2"/>
    <w:rsid w:val="00237E0C"/>
    <w:rsid w:val="00240350"/>
    <w:rsid w:val="002404B4"/>
    <w:rsid w:val="00240727"/>
    <w:rsid w:val="002408B8"/>
    <w:rsid w:val="002410C5"/>
    <w:rsid w:val="002411A3"/>
    <w:rsid w:val="002411BC"/>
    <w:rsid w:val="002412FA"/>
    <w:rsid w:val="002412FD"/>
    <w:rsid w:val="0024133B"/>
    <w:rsid w:val="00241EF6"/>
    <w:rsid w:val="00242654"/>
    <w:rsid w:val="0024321E"/>
    <w:rsid w:val="002436D0"/>
    <w:rsid w:val="0024372F"/>
    <w:rsid w:val="00243861"/>
    <w:rsid w:val="00243A77"/>
    <w:rsid w:val="00243BA1"/>
    <w:rsid w:val="00243CE2"/>
    <w:rsid w:val="00243EFF"/>
    <w:rsid w:val="0024453C"/>
    <w:rsid w:val="0024463B"/>
    <w:rsid w:val="00244AD6"/>
    <w:rsid w:val="00244DCE"/>
    <w:rsid w:val="00245076"/>
    <w:rsid w:val="0024517B"/>
    <w:rsid w:val="0024547B"/>
    <w:rsid w:val="0024570E"/>
    <w:rsid w:val="002460F1"/>
    <w:rsid w:val="002462EC"/>
    <w:rsid w:val="00246AD2"/>
    <w:rsid w:val="00246CE8"/>
    <w:rsid w:val="002473B2"/>
    <w:rsid w:val="0024782F"/>
    <w:rsid w:val="00247EAB"/>
    <w:rsid w:val="0025040C"/>
    <w:rsid w:val="002504AD"/>
    <w:rsid w:val="002504B4"/>
    <w:rsid w:val="002509AD"/>
    <w:rsid w:val="00250BB7"/>
    <w:rsid w:val="00250BEE"/>
    <w:rsid w:val="00250CBA"/>
    <w:rsid w:val="00250D87"/>
    <w:rsid w:val="00251037"/>
    <w:rsid w:val="0025117F"/>
    <w:rsid w:val="00251252"/>
    <w:rsid w:val="00251A24"/>
    <w:rsid w:val="00251C27"/>
    <w:rsid w:val="0025205C"/>
    <w:rsid w:val="002521B6"/>
    <w:rsid w:val="002521F2"/>
    <w:rsid w:val="0025252E"/>
    <w:rsid w:val="00252562"/>
    <w:rsid w:val="00252782"/>
    <w:rsid w:val="0025295D"/>
    <w:rsid w:val="00252FE1"/>
    <w:rsid w:val="002531B7"/>
    <w:rsid w:val="002533CB"/>
    <w:rsid w:val="002535B2"/>
    <w:rsid w:val="00253D4B"/>
    <w:rsid w:val="00253DF6"/>
    <w:rsid w:val="00253E0E"/>
    <w:rsid w:val="002544C7"/>
    <w:rsid w:val="00254711"/>
    <w:rsid w:val="002547F3"/>
    <w:rsid w:val="00254D93"/>
    <w:rsid w:val="00254FF6"/>
    <w:rsid w:val="0025516F"/>
    <w:rsid w:val="00255216"/>
    <w:rsid w:val="002553CA"/>
    <w:rsid w:val="002556B3"/>
    <w:rsid w:val="00255B5A"/>
    <w:rsid w:val="00255BF5"/>
    <w:rsid w:val="00255EA0"/>
    <w:rsid w:val="0025660B"/>
    <w:rsid w:val="002566A6"/>
    <w:rsid w:val="00256972"/>
    <w:rsid w:val="002569AE"/>
    <w:rsid w:val="0025707C"/>
    <w:rsid w:val="00257250"/>
    <w:rsid w:val="00257392"/>
    <w:rsid w:val="002573BD"/>
    <w:rsid w:val="002574D0"/>
    <w:rsid w:val="00257638"/>
    <w:rsid w:val="002577F6"/>
    <w:rsid w:val="00257882"/>
    <w:rsid w:val="002578B1"/>
    <w:rsid w:val="00257CAF"/>
    <w:rsid w:val="00257F78"/>
    <w:rsid w:val="0026011D"/>
    <w:rsid w:val="002603B1"/>
    <w:rsid w:val="002606F2"/>
    <w:rsid w:val="00260B2F"/>
    <w:rsid w:val="00260E0D"/>
    <w:rsid w:val="00260E3C"/>
    <w:rsid w:val="00260F73"/>
    <w:rsid w:val="00261D62"/>
    <w:rsid w:val="00261EF7"/>
    <w:rsid w:val="0026221B"/>
    <w:rsid w:val="002622FD"/>
    <w:rsid w:val="002627AF"/>
    <w:rsid w:val="00263343"/>
    <w:rsid w:val="002633E9"/>
    <w:rsid w:val="0026403A"/>
    <w:rsid w:val="00264111"/>
    <w:rsid w:val="002641D1"/>
    <w:rsid w:val="002648D4"/>
    <w:rsid w:val="00264960"/>
    <w:rsid w:val="00264B24"/>
    <w:rsid w:val="00264C05"/>
    <w:rsid w:val="00265565"/>
    <w:rsid w:val="002657BE"/>
    <w:rsid w:val="00265D0C"/>
    <w:rsid w:val="002660E4"/>
    <w:rsid w:val="00266239"/>
    <w:rsid w:val="002662D1"/>
    <w:rsid w:val="0026677E"/>
    <w:rsid w:val="00266AF2"/>
    <w:rsid w:val="00267795"/>
    <w:rsid w:val="00267AE5"/>
    <w:rsid w:val="00267C49"/>
    <w:rsid w:val="00267CFD"/>
    <w:rsid w:val="00267E26"/>
    <w:rsid w:val="002702E2"/>
    <w:rsid w:val="002708C8"/>
    <w:rsid w:val="00270C56"/>
    <w:rsid w:val="00270DD6"/>
    <w:rsid w:val="00270DFC"/>
    <w:rsid w:val="00271522"/>
    <w:rsid w:val="00271940"/>
    <w:rsid w:val="00271948"/>
    <w:rsid w:val="00271B09"/>
    <w:rsid w:val="00271FEC"/>
    <w:rsid w:val="002721EB"/>
    <w:rsid w:val="002723B9"/>
    <w:rsid w:val="00272631"/>
    <w:rsid w:val="00272FD4"/>
    <w:rsid w:val="00273F93"/>
    <w:rsid w:val="00274051"/>
    <w:rsid w:val="00274587"/>
    <w:rsid w:val="002753B7"/>
    <w:rsid w:val="002757BA"/>
    <w:rsid w:val="00275EE3"/>
    <w:rsid w:val="0027624D"/>
    <w:rsid w:val="0027638B"/>
    <w:rsid w:val="0027707F"/>
    <w:rsid w:val="002770F8"/>
    <w:rsid w:val="0027785A"/>
    <w:rsid w:val="00277888"/>
    <w:rsid w:val="00280033"/>
    <w:rsid w:val="002802D5"/>
    <w:rsid w:val="002804EC"/>
    <w:rsid w:val="00280D19"/>
    <w:rsid w:val="00280D76"/>
    <w:rsid w:val="00280DEB"/>
    <w:rsid w:val="00280FF4"/>
    <w:rsid w:val="002812B2"/>
    <w:rsid w:val="002814EA"/>
    <w:rsid w:val="00281554"/>
    <w:rsid w:val="002815EE"/>
    <w:rsid w:val="00281847"/>
    <w:rsid w:val="0028191F"/>
    <w:rsid w:val="002826E0"/>
    <w:rsid w:val="0028275B"/>
    <w:rsid w:val="0028282D"/>
    <w:rsid w:val="00282DF5"/>
    <w:rsid w:val="00282E8C"/>
    <w:rsid w:val="00282EE4"/>
    <w:rsid w:val="00283351"/>
    <w:rsid w:val="00283A73"/>
    <w:rsid w:val="00283ABE"/>
    <w:rsid w:val="00283D3E"/>
    <w:rsid w:val="00284209"/>
    <w:rsid w:val="00284C42"/>
    <w:rsid w:val="00284CFF"/>
    <w:rsid w:val="00285545"/>
    <w:rsid w:val="0028568C"/>
    <w:rsid w:val="002858F9"/>
    <w:rsid w:val="00285DA7"/>
    <w:rsid w:val="00285E74"/>
    <w:rsid w:val="002860B3"/>
    <w:rsid w:val="00286403"/>
    <w:rsid w:val="00286408"/>
    <w:rsid w:val="00286421"/>
    <w:rsid w:val="00286501"/>
    <w:rsid w:val="00286676"/>
    <w:rsid w:val="00286D06"/>
    <w:rsid w:val="00286E9E"/>
    <w:rsid w:val="00287770"/>
    <w:rsid w:val="0028777E"/>
    <w:rsid w:val="0028799B"/>
    <w:rsid w:val="00287FFC"/>
    <w:rsid w:val="00290084"/>
    <w:rsid w:val="00290BBC"/>
    <w:rsid w:val="00290D11"/>
    <w:rsid w:val="00290DD7"/>
    <w:rsid w:val="00290F23"/>
    <w:rsid w:val="00291304"/>
    <w:rsid w:val="0029226F"/>
    <w:rsid w:val="002923BA"/>
    <w:rsid w:val="00292BED"/>
    <w:rsid w:val="0029374B"/>
    <w:rsid w:val="0029379F"/>
    <w:rsid w:val="00293B26"/>
    <w:rsid w:val="00293EAB"/>
    <w:rsid w:val="002940C4"/>
    <w:rsid w:val="00294609"/>
    <w:rsid w:val="00294C04"/>
    <w:rsid w:val="00294D94"/>
    <w:rsid w:val="00294E26"/>
    <w:rsid w:val="00295062"/>
    <w:rsid w:val="00295610"/>
    <w:rsid w:val="00295FC1"/>
    <w:rsid w:val="00296EF5"/>
    <w:rsid w:val="00297261"/>
    <w:rsid w:val="00297405"/>
    <w:rsid w:val="00297BE3"/>
    <w:rsid w:val="00297D04"/>
    <w:rsid w:val="002A0035"/>
    <w:rsid w:val="002A0355"/>
    <w:rsid w:val="002A08D8"/>
    <w:rsid w:val="002A0919"/>
    <w:rsid w:val="002A09A4"/>
    <w:rsid w:val="002A106D"/>
    <w:rsid w:val="002A12C3"/>
    <w:rsid w:val="002A1BD7"/>
    <w:rsid w:val="002A23F6"/>
    <w:rsid w:val="002A2476"/>
    <w:rsid w:val="002A2667"/>
    <w:rsid w:val="002A2AC6"/>
    <w:rsid w:val="002A2CAC"/>
    <w:rsid w:val="002A352F"/>
    <w:rsid w:val="002A3559"/>
    <w:rsid w:val="002A467C"/>
    <w:rsid w:val="002A4E3A"/>
    <w:rsid w:val="002A500E"/>
    <w:rsid w:val="002A5068"/>
    <w:rsid w:val="002A50E3"/>
    <w:rsid w:val="002A5129"/>
    <w:rsid w:val="002A54C1"/>
    <w:rsid w:val="002A553B"/>
    <w:rsid w:val="002A5B7E"/>
    <w:rsid w:val="002A5DE6"/>
    <w:rsid w:val="002A5E63"/>
    <w:rsid w:val="002A64F9"/>
    <w:rsid w:val="002A6593"/>
    <w:rsid w:val="002A69B2"/>
    <w:rsid w:val="002A6AF4"/>
    <w:rsid w:val="002A6BDC"/>
    <w:rsid w:val="002A6C19"/>
    <w:rsid w:val="002A6DC5"/>
    <w:rsid w:val="002A6F8D"/>
    <w:rsid w:val="002A6FAB"/>
    <w:rsid w:val="002A75BA"/>
    <w:rsid w:val="002A7630"/>
    <w:rsid w:val="002A7725"/>
    <w:rsid w:val="002B011D"/>
    <w:rsid w:val="002B042E"/>
    <w:rsid w:val="002B04FF"/>
    <w:rsid w:val="002B07A3"/>
    <w:rsid w:val="002B08B7"/>
    <w:rsid w:val="002B0985"/>
    <w:rsid w:val="002B0CB9"/>
    <w:rsid w:val="002B12E9"/>
    <w:rsid w:val="002B1F56"/>
    <w:rsid w:val="002B1FED"/>
    <w:rsid w:val="002B2256"/>
    <w:rsid w:val="002B29F9"/>
    <w:rsid w:val="002B2C81"/>
    <w:rsid w:val="002B34CC"/>
    <w:rsid w:val="002B3787"/>
    <w:rsid w:val="002B3B0F"/>
    <w:rsid w:val="002B3C19"/>
    <w:rsid w:val="002B4068"/>
    <w:rsid w:val="002B421F"/>
    <w:rsid w:val="002B42FD"/>
    <w:rsid w:val="002B430F"/>
    <w:rsid w:val="002B4995"/>
    <w:rsid w:val="002B4A22"/>
    <w:rsid w:val="002B4AD8"/>
    <w:rsid w:val="002B51CD"/>
    <w:rsid w:val="002B5439"/>
    <w:rsid w:val="002B5726"/>
    <w:rsid w:val="002B5B75"/>
    <w:rsid w:val="002B5F5C"/>
    <w:rsid w:val="002B604D"/>
    <w:rsid w:val="002B6065"/>
    <w:rsid w:val="002B6562"/>
    <w:rsid w:val="002B673B"/>
    <w:rsid w:val="002B68EE"/>
    <w:rsid w:val="002B69F1"/>
    <w:rsid w:val="002B6BE4"/>
    <w:rsid w:val="002B6D08"/>
    <w:rsid w:val="002B6DDF"/>
    <w:rsid w:val="002B79D0"/>
    <w:rsid w:val="002B7B18"/>
    <w:rsid w:val="002B7BEA"/>
    <w:rsid w:val="002B7C06"/>
    <w:rsid w:val="002B7E9B"/>
    <w:rsid w:val="002B7ED2"/>
    <w:rsid w:val="002C02A6"/>
    <w:rsid w:val="002C06CE"/>
    <w:rsid w:val="002C06F8"/>
    <w:rsid w:val="002C0863"/>
    <w:rsid w:val="002C0B2F"/>
    <w:rsid w:val="002C1092"/>
    <w:rsid w:val="002C140B"/>
    <w:rsid w:val="002C1FCD"/>
    <w:rsid w:val="002C21C6"/>
    <w:rsid w:val="002C22DD"/>
    <w:rsid w:val="002C26AB"/>
    <w:rsid w:val="002C2D97"/>
    <w:rsid w:val="002C3048"/>
    <w:rsid w:val="002C3E89"/>
    <w:rsid w:val="002C4069"/>
    <w:rsid w:val="002C42A1"/>
    <w:rsid w:val="002C42E6"/>
    <w:rsid w:val="002C435E"/>
    <w:rsid w:val="002C45CD"/>
    <w:rsid w:val="002C46E4"/>
    <w:rsid w:val="002C49F6"/>
    <w:rsid w:val="002C4E8F"/>
    <w:rsid w:val="002C54A3"/>
    <w:rsid w:val="002C6088"/>
    <w:rsid w:val="002C6094"/>
    <w:rsid w:val="002C6199"/>
    <w:rsid w:val="002C631C"/>
    <w:rsid w:val="002C6ED2"/>
    <w:rsid w:val="002C6FBF"/>
    <w:rsid w:val="002C71EC"/>
    <w:rsid w:val="002C72F8"/>
    <w:rsid w:val="002C745B"/>
    <w:rsid w:val="002D02E6"/>
    <w:rsid w:val="002D05D5"/>
    <w:rsid w:val="002D0788"/>
    <w:rsid w:val="002D09FF"/>
    <w:rsid w:val="002D0B0B"/>
    <w:rsid w:val="002D0B57"/>
    <w:rsid w:val="002D0F8F"/>
    <w:rsid w:val="002D1069"/>
    <w:rsid w:val="002D13B6"/>
    <w:rsid w:val="002D172B"/>
    <w:rsid w:val="002D1A15"/>
    <w:rsid w:val="002D1C1A"/>
    <w:rsid w:val="002D2051"/>
    <w:rsid w:val="002D208B"/>
    <w:rsid w:val="002D23E2"/>
    <w:rsid w:val="002D24A0"/>
    <w:rsid w:val="002D283D"/>
    <w:rsid w:val="002D3228"/>
    <w:rsid w:val="002D37AC"/>
    <w:rsid w:val="002D3A9F"/>
    <w:rsid w:val="002D3C77"/>
    <w:rsid w:val="002D3EC2"/>
    <w:rsid w:val="002D45BD"/>
    <w:rsid w:val="002D4CA5"/>
    <w:rsid w:val="002D4F65"/>
    <w:rsid w:val="002D515F"/>
    <w:rsid w:val="002D518B"/>
    <w:rsid w:val="002D537A"/>
    <w:rsid w:val="002D5728"/>
    <w:rsid w:val="002D5AA4"/>
    <w:rsid w:val="002D5ADE"/>
    <w:rsid w:val="002D60F2"/>
    <w:rsid w:val="002D62E8"/>
    <w:rsid w:val="002D698D"/>
    <w:rsid w:val="002D6FDA"/>
    <w:rsid w:val="002D70B9"/>
    <w:rsid w:val="002D7C04"/>
    <w:rsid w:val="002E08B9"/>
    <w:rsid w:val="002E0A3F"/>
    <w:rsid w:val="002E0D70"/>
    <w:rsid w:val="002E1546"/>
    <w:rsid w:val="002E1681"/>
    <w:rsid w:val="002E17A6"/>
    <w:rsid w:val="002E1DF9"/>
    <w:rsid w:val="002E226C"/>
    <w:rsid w:val="002E2465"/>
    <w:rsid w:val="002E2A47"/>
    <w:rsid w:val="002E2B31"/>
    <w:rsid w:val="002E2CBB"/>
    <w:rsid w:val="002E36C1"/>
    <w:rsid w:val="002E3791"/>
    <w:rsid w:val="002E3A58"/>
    <w:rsid w:val="002E3BAC"/>
    <w:rsid w:val="002E3BBC"/>
    <w:rsid w:val="002E3D03"/>
    <w:rsid w:val="002E3FD7"/>
    <w:rsid w:val="002E41CB"/>
    <w:rsid w:val="002E42DF"/>
    <w:rsid w:val="002E449B"/>
    <w:rsid w:val="002E46BD"/>
    <w:rsid w:val="002E506F"/>
    <w:rsid w:val="002E51E9"/>
    <w:rsid w:val="002E528C"/>
    <w:rsid w:val="002E59B0"/>
    <w:rsid w:val="002E5AF6"/>
    <w:rsid w:val="002E5CA2"/>
    <w:rsid w:val="002E5DB7"/>
    <w:rsid w:val="002E5FA5"/>
    <w:rsid w:val="002E6006"/>
    <w:rsid w:val="002E6748"/>
    <w:rsid w:val="002E687B"/>
    <w:rsid w:val="002E6C9C"/>
    <w:rsid w:val="002E7845"/>
    <w:rsid w:val="002E7862"/>
    <w:rsid w:val="002E78AF"/>
    <w:rsid w:val="002F016F"/>
    <w:rsid w:val="002F0548"/>
    <w:rsid w:val="002F0A47"/>
    <w:rsid w:val="002F159B"/>
    <w:rsid w:val="002F2C60"/>
    <w:rsid w:val="002F2C91"/>
    <w:rsid w:val="002F3349"/>
    <w:rsid w:val="002F334E"/>
    <w:rsid w:val="002F34A8"/>
    <w:rsid w:val="002F3666"/>
    <w:rsid w:val="002F3C84"/>
    <w:rsid w:val="002F3D5C"/>
    <w:rsid w:val="002F3D9B"/>
    <w:rsid w:val="002F3DBB"/>
    <w:rsid w:val="002F3EA9"/>
    <w:rsid w:val="002F4131"/>
    <w:rsid w:val="002F46D0"/>
    <w:rsid w:val="002F4F88"/>
    <w:rsid w:val="002F50BF"/>
    <w:rsid w:val="002F549F"/>
    <w:rsid w:val="002F5572"/>
    <w:rsid w:val="002F5900"/>
    <w:rsid w:val="002F5D4A"/>
    <w:rsid w:val="002F5DE6"/>
    <w:rsid w:val="002F6068"/>
    <w:rsid w:val="002F6350"/>
    <w:rsid w:val="002F644A"/>
    <w:rsid w:val="002F65A8"/>
    <w:rsid w:val="002F6B9D"/>
    <w:rsid w:val="002F71FA"/>
    <w:rsid w:val="002F767E"/>
    <w:rsid w:val="002F7AAF"/>
    <w:rsid w:val="00300326"/>
    <w:rsid w:val="00300785"/>
    <w:rsid w:val="00300BFC"/>
    <w:rsid w:val="00300D0F"/>
    <w:rsid w:val="00301542"/>
    <w:rsid w:val="00301581"/>
    <w:rsid w:val="003017CB"/>
    <w:rsid w:val="00301FE6"/>
    <w:rsid w:val="00302229"/>
    <w:rsid w:val="0030226E"/>
    <w:rsid w:val="003026A9"/>
    <w:rsid w:val="00302970"/>
    <w:rsid w:val="00302C9E"/>
    <w:rsid w:val="00303036"/>
    <w:rsid w:val="003030A3"/>
    <w:rsid w:val="00303118"/>
    <w:rsid w:val="003032CD"/>
    <w:rsid w:val="00303338"/>
    <w:rsid w:val="00303733"/>
    <w:rsid w:val="00303B3A"/>
    <w:rsid w:val="00304074"/>
    <w:rsid w:val="00304302"/>
    <w:rsid w:val="0030470A"/>
    <w:rsid w:val="00304770"/>
    <w:rsid w:val="00304B72"/>
    <w:rsid w:val="00304C67"/>
    <w:rsid w:val="00304CC3"/>
    <w:rsid w:val="003055C4"/>
    <w:rsid w:val="00305ECF"/>
    <w:rsid w:val="0030623D"/>
    <w:rsid w:val="00306679"/>
    <w:rsid w:val="00306798"/>
    <w:rsid w:val="003068FF"/>
    <w:rsid w:val="00306AC3"/>
    <w:rsid w:val="00306D80"/>
    <w:rsid w:val="00306DAB"/>
    <w:rsid w:val="00307AEE"/>
    <w:rsid w:val="00307E42"/>
    <w:rsid w:val="003102DB"/>
    <w:rsid w:val="003103D3"/>
    <w:rsid w:val="00310425"/>
    <w:rsid w:val="003107AE"/>
    <w:rsid w:val="00310984"/>
    <w:rsid w:val="00310AFD"/>
    <w:rsid w:val="00310BD7"/>
    <w:rsid w:val="00310D12"/>
    <w:rsid w:val="00310FA5"/>
    <w:rsid w:val="00310FE7"/>
    <w:rsid w:val="003112EE"/>
    <w:rsid w:val="003116E2"/>
    <w:rsid w:val="00311EB4"/>
    <w:rsid w:val="003126F6"/>
    <w:rsid w:val="003129A2"/>
    <w:rsid w:val="003132BA"/>
    <w:rsid w:val="00313639"/>
    <w:rsid w:val="00313884"/>
    <w:rsid w:val="00313BB4"/>
    <w:rsid w:val="003141B8"/>
    <w:rsid w:val="00314C58"/>
    <w:rsid w:val="00314D77"/>
    <w:rsid w:val="00315100"/>
    <w:rsid w:val="0031544B"/>
    <w:rsid w:val="00315B59"/>
    <w:rsid w:val="00315CAD"/>
    <w:rsid w:val="00315D9F"/>
    <w:rsid w:val="00316671"/>
    <w:rsid w:val="00316885"/>
    <w:rsid w:val="00316AAD"/>
    <w:rsid w:val="00316D15"/>
    <w:rsid w:val="00316E61"/>
    <w:rsid w:val="00317068"/>
    <w:rsid w:val="00317122"/>
    <w:rsid w:val="003172A6"/>
    <w:rsid w:val="003174A2"/>
    <w:rsid w:val="003176FB"/>
    <w:rsid w:val="00317919"/>
    <w:rsid w:val="00317BCC"/>
    <w:rsid w:val="003208E0"/>
    <w:rsid w:val="00320A88"/>
    <w:rsid w:val="00320DD1"/>
    <w:rsid w:val="0032127A"/>
    <w:rsid w:val="003217D6"/>
    <w:rsid w:val="00321A45"/>
    <w:rsid w:val="00321B1A"/>
    <w:rsid w:val="00321B1F"/>
    <w:rsid w:val="00321B4E"/>
    <w:rsid w:val="003221AF"/>
    <w:rsid w:val="0032223D"/>
    <w:rsid w:val="00322588"/>
    <w:rsid w:val="00322640"/>
    <w:rsid w:val="0032269D"/>
    <w:rsid w:val="00322845"/>
    <w:rsid w:val="003228FB"/>
    <w:rsid w:val="0032297B"/>
    <w:rsid w:val="00322DCA"/>
    <w:rsid w:val="00323038"/>
    <w:rsid w:val="003230F6"/>
    <w:rsid w:val="00323161"/>
    <w:rsid w:val="00323453"/>
    <w:rsid w:val="003235F5"/>
    <w:rsid w:val="003237B4"/>
    <w:rsid w:val="00323988"/>
    <w:rsid w:val="00323B66"/>
    <w:rsid w:val="00323D94"/>
    <w:rsid w:val="003240C4"/>
    <w:rsid w:val="0032470E"/>
    <w:rsid w:val="00324795"/>
    <w:rsid w:val="00324CF2"/>
    <w:rsid w:val="0032593E"/>
    <w:rsid w:val="00325AD8"/>
    <w:rsid w:val="00325D5B"/>
    <w:rsid w:val="00325F93"/>
    <w:rsid w:val="00325FB2"/>
    <w:rsid w:val="00326D76"/>
    <w:rsid w:val="003272E7"/>
    <w:rsid w:val="00327500"/>
    <w:rsid w:val="00327615"/>
    <w:rsid w:val="00327989"/>
    <w:rsid w:val="00327DFE"/>
    <w:rsid w:val="00327EB2"/>
    <w:rsid w:val="003305DA"/>
    <w:rsid w:val="0033098B"/>
    <w:rsid w:val="00330C63"/>
    <w:rsid w:val="00331491"/>
    <w:rsid w:val="003317E9"/>
    <w:rsid w:val="003318D1"/>
    <w:rsid w:val="003321AE"/>
    <w:rsid w:val="00332474"/>
    <w:rsid w:val="00332518"/>
    <w:rsid w:val="00332C03"/>
    <w:rsid w:val="00333073"/>
    <w:rsid w:val="003331BC"/>
    <w:rsid w:val="00333345"/>
    <w:rsid w:val="00333533"/>
    <w:rsid w:val="00333677"/>
    <w:rsid w:val="003337C4"/>
    <w:rsid w:val="00333EEE"/>
    <w:rsid w:val="003342C9"/>
    <w:rsid w:val="003349CB"/>
    <w:rsid w:val="00334CE6"/>
    <w:rsid w:val="0033532B"/>
    <w:rsid w:val="003355C3"/>
    <w:rsid w:val="00335679"/>
    <w:rsid w:val="00335814"/>
    <w:rsid w:val="00335A79"/>
    <w:rsid w:val="00335AF8"/>
    <w:rsid w:val="00335C95"/>
    <w:rsid w:val="003362DD"/>
    <w:rsid w:val="00336563"/>
    <w:rsid w:val="00336706"/>
    <w:rsid w:val="003368F9"/>
    <w:rsid w:val="0033714B"/>
    <w:rsid w:val="00337A56"/>
    <w:rsid w:val="00337E48"/>
    <w:rsid w:val="0034008C"/>
    <w:rsid w:val="003404A8"/>
    <w:rsid w:val="0034065D"/>
    <w:rsid w:val="00340712"/>
    <w:rsid w:val="003407E7"/>
    <w:rsid w:val="00340997"/>
    <w:rsid w:val="003413CB"/>
    <w:rsid w:val="00341513"/>
    <w:rsid w:val="0034152D"/>
    <w:rsid w:val="0034191C"/>
    <w:rsid w:val="00341E32"/>
    <w:rsid w:val="00342501"/>
    <w:rsid w:val="003425CF"/>
    <w:rsid w:val="003428AC"/>
    <w:rsid w:val="00342AD4"/>
    <w:rsid w:val="00342B31"/>
    <w:rsid w:val="00342E5D"/>
    <w:rsid w:val="00342F74"/>
    <w:rsid w:val="00342FD3"/>
    <w:rsid w:val="0034330F"/>
    <w:rsid w:val="00343689"/>
    <w:rsid w:val="00343791"/>
    <w:rsid w:val="0034394B"/>
    <w:rsid w:val="00343969"/>
    <w:rsid w:val="00344588"/>
    <w:rsid w:val="00344CDE"/>
    <w:rsid w:val="00344D33"/>
    <w:rsid w:val="0034523B"/>
    <w:rsid w:val="00345A32"/>
    <w:rsid w:val="00345CC5"/>
    <w:rsid w:val="0034615A"/>
    <w:rsid w:val="003461B9"/>
    <w:rsid w:val="003469E9"/>
    <w:rsid w:val="00347BBD"/>
    <w:rsid w:val="00347D2E"/>
    <w:rsid w:val="00347DDE"/>
    <w:rsid w:val="00350BB6"/>
    <w:rsid w:val="00351029"/>
    <w:rsid w:val="003510CD"/>
    <w:rsid w:val="00351441"/>
    <w:rsid w:val="00351485"/>
    <w:rsid w:val="00351699"/>
    <w:rsid w:val="003516C6"/>
    <w:rsid w:val="00351808"/>
    <w:rsid w:val="00351C94"/>
    <w:rsid w:val="00351CCA"/>
    <w:rsid w:val="00351F93"/>
    <w:rsid w:val="00352122"/>
    <w:rsid w:val="0035218D"/>
    <w:rsid w:val="00352198"/>
    <w:rsid w:val="00352513"/>
    <w:rsid w:val="003528F3"/>
    <w:rsid w:val="00352E50"/>
    <w:rsid w:val="00352E8B"/>
    <w:rsid w:val="0035316F"/>
    <w:rsid w:val="003531C8"/>
    <w:rsid w:val="003532C2"/>
    <w:rsid w:val="0035353F"/>
    <w:rsid w:val="00353BF9"/>
    <w:rsid w:val="00353CDE"/>
    <w:rsid w:val="00354270"/>
    <w:rsid w:val="00354A98"/>
    <w:rsid w:val="00354BE6"/>
    <w:rsid w:val="00354DDF"/>
    <w:rsid w:val="00354E05"/>
    <w:rsid w:val="0035540D"/>
    <w:rsid w:val="00355AB4"/>
    <w:rsid w:val="0035638D"/>
    <w:rsid w:val="0035639E"/>
    <w:rsid w:val="003565BC"/>
    <w:rsid w:val="003567E7"/>
    <w:rsid w:val="00356C58"/>
    <w:rsid w:val="00356EC3"/>
    <w:rsid w:val="00356F71"/>
    <w:rsid w:val="0035741D"/>
    <w:rsid w:val="0035748C"/>
    <w:rsid w:val="0035782F"/>
    <w:rsid w:val="00357CEB"/>
    <w:rsid w:val="00357F72"/>
    <w:rsid w:val="003602F1"/>
    <w:rsid w:val="00360A10"/>
    <w:rsid w:val="00360D95"/>
    <w:rsid w:val="00360E90"/>
    <w:rsid w:val="0036153C"/>
    <w:rsid w:val="0036161B"/>
    <w:rsid w:val="00361A53"/>
    <w:rsid w:val="00361ED3"/>
    <w:rsid w:val="003623B1"/>
    <w:rsid w:val="003623B9"/>
    <w:rsid w:val="00362ABC"/>
    <w:rsid w:val="00362CEE"/>
    <w:rsid w:val="003634E1"/>
    <w:rsid w:val="003639C0"/>
    <w:rsid w:val="00363FF9"/>
    <w:rsid w:val="0036488F"/>
    <w:rsid w:val="00364DD9"/>
    <w:rsid w:val="00364DE5"/>
    <w:rsid w:val="003655E9"/>
    <w:rsid w:val="0036560B"/>
    <w:rsid w:val="00365B3B"/>
    <w:rsid w:val="00366697"/>
    <w:rsid w:val="00366E65"/>
    <w:rsid w:val="00366FA5"/>
    <w:rsid w:val="003671BD"/>
    <w:rsid w:val="00367306"/>
    <w:rsid w:val="003674AB"/>
    <w:rsid w:val="00367DB7"/>
    <w:rsid w:val="00367EE5"/>
    <w:rsid w:val="00370060"/>
    <w:rsid w:val="0037024D"/>
    <w:rsid w:val="00370A49"/>
    <w:rsid w:val="00370A4A"/>
    <w:rsid w:val="00370D46"/>
    <w:rsid w:val="0037108F"/>
    <w:rsid w:val="003710ED"/>
    <w:rsid w:val="003711F6"/>
    <w:rsid w:val="00371328"/>
    <w:rsid w:val="00371848"/>
    <w:rsid w:val="00371BB3"/>
    <w:rsid w:val="00371D65"/>
    <w:rsid w:val="003720A2"/>
    <w:rsid w:val="00372760"/>
    <w:rsid w:val="00372AD2"/>
    <w:rsid w:val="00372D8C"/>
    <w:rsid w:val="00372E7F"/>
    <w:rsid w:val="0037359B"/>
    <w:rsid w:val="003735B4"/>
    <w:rsid w:val="00373BDF"/>
    <w:rsid w:val="00373BE4"/>
    <w:rsid w:val="00374274"/>
    <w:rsid w:val="00374647"/>
    <w:rsid w:val="00374872"/>
    <w:rsid w:val="00374B15"/>
    <w:rsid w:val="00374BC8"/>
    <w:rsid w:val="003750E6"/>
    <w:rsid w:val="003750E9"/>
    <w:rsid w:val="00375181"/>
    <w:rsid w:val="003754A2"/>
    <w:rsid w:val="00375ACF"/>
    <w:rsid w:val="00375CCA"/>
    <w:rsid w:val="003760BF"/>
    <w:rsid w:val="003765D7"/>
    <w:rsid w:val="003766A6"/>
    <w:rsid w:val="00376CEF"/>
    <w:rsid w:val="003772C3"/>
    <w:rsid w:val="003773F8"/>
    <w:rsid w:val="00377634"/>
    <w:rsid w:val="00380F7E"/>
    <w:rsid w:val="00380FD9"/>
    <w:rsid w:val="00381445"/>
    <w:rsid w:val="00381DC9"/>
    <w:rsid w:val="00382093"/>
    <w:rsid w:val="003824F0"/>
    <w:rsid w:val="0038254B"/>
    <w:rsid w:val="003828B4"/>
    <w:rsid w:val="00382AF2"/>
    <w:rsid w:val="00382B18"/>
    <w:rsid w:val="00383126"/>
    <w:rsid w:val="00383198"/>
    <w:rsid w:val="00383581"/>
    <w:rsid w:val="003837F2"/>
    <w:rsid w:val="00383C01"/>
    <w:rsid w:val="00383C3C"/>
    <w:rsid w:val="00384A62"/>
    <w:rsid w:val="00384CBC"/>
    <w:rsid w:val="00385361"/>
    <w:rsid w:val="003856F3"/>
    <w:rsid w:val="00385CB9"/>
    <w:rsid w:val="00385DA2"/>
    <w:rsid w:val="00385DB7"/>
    <w:rsid w:val="00385E88"/>
    <w:rsid w:val="00385F46"/>
    <w:rsid w:val="00385FE8"/>
    <w:rsid w:val="003863C5"/>
    <w:rsid w:val="00386411"/>
    <w:rsid w:val="003864D8"/>
    <w:rsid w:val="003865B3"/>
    <w:rsid w:val="0038674A"/>
    <w:rsid w:val="00386FB5"/>
    <w:rsid w:val="0038702B"/>
    <w:rsid w:val="0038724B"/>
    <w:rsid w:val="00387453"/>
    <w:rsid w:val="00387472"/>
    <w:rsid w:val="003874BE"/>
    <w:rsid w:val="0038774C"/>
    <w:rsid w:val="00387FBD"/>
    <w:rsid w:val="0039063E"/>
    <w:rsid w:val="00390785"/>
    <w:rsid w:val="003907CC"/>
    <w:rsid w:val="00390A32"/>
    <w:rsid w:val="00390FB2"/>
    <w:rsid w:val="00390FF3"/>
    <w:rsid w:val="00391693"/>
    <w:rsid w:val="0039180E"/>
    <w:rsid w:val="0039224C"/>
    <w:rsid w:val="003922F9"/>
    <w:rsid w:val="003924CC"/>
    <w:rsid w:val="0039283D"/>
    <w:rsid w:val="00392846"/>
    <w:rsid w:val="003930FD"/>
    <w:rsid w:val="0039331C"/>
    <w:rsid w:val="003933CC"/>
    <w:rsid w:val="003937DB"/>
    <w:rsid w:val="00393D53"/>
    <w:rsid w:val="00393FDF"/>
    <w:rsid w:val="0039424E"/>
    <w:rsid w:val="003945D1"/>
    <w:rsid w:val="00394636"/>
    <w:rsid w:val="00394A06"/>
    <w:rsid w:val="00394A33"/>
    <w:rsid w:val="00394B43"/>
    <w:rsid w:val="00394C0D"/>
    <w:rsid w:val="00394C85"/>
    <w:rsid w:val="00394FF0"/>
    <w:rsid w:val="0039536C"/>
    <w:rsid w:val="00395478"/>
    <w:rsid w:val="00395931"/>
    <w:rsid w:val="003964D9"/>
    <w:rsid w:val="0039651E"/>
    <w:rsid w:val="0039652A"/>
    <w:rsid w:val="00396988"/>
    <w:rsid w:val="00396EF9"/>
    <w:rsid w:val="0039756F"/>
    <w:rsid w:val="00397DF4"/>
    <w:rsid w:val="003A0305"/>
    <w:rsid w:val="003A0435"/>
    <w:rsid w:val="003A04CC"/>
    <w:rsid w:val="003A0B40"/>
    <w:rsid w:val="003A1250"/>
    <w:rsid w:val="003A12D8"/>
    <w:rsid w:val="003A1B26"/>
    <w:rsid w:val="003A1E00"/>
    <w:rsid w:val="003A2323"/>
    <w:rsid w:val="003A233B"/>
    <w:rsid w:val="003A2682"/>
    <w:rsid w:val="003A2749"/>
    <w:rsid w:val="003A2BDE"/>
    <w:rsid w:val="003A3016"/>
    <w:rsid w:val="003A3451"/>
    <w:rsid w:val="003A3900"/>
    <w:rsid w:val="003A4ABB"/>
    <w:rsid w:val="003A4C6E"/>
    <w:rsid w:val="003A4D8E"/>
    <w:rsid w:val="003A4DF8"/>
    <w:rsid w:val="003A4E9D"/>
    <w:rsid w:val="003A4F78"/>
    <w:rsid w:val="003A5444"/>
    <w:rsid w:val="003A56CB"/>
    <w:rsid w:val="003A5B6C"/>
    <w:rsid w:val="003A5E3D"/>
    <w:rsid w:val="003A648B"/>
    <w:rsid w:val="003A7071"/>
    <w:rsid w:val="003A7200"/>
    <w:rsid w:val="003A7244"/>
    <w:rsid w:val="003A72BA"/>
    <w:rsid w:val="003A7441"/>
    <w:rsid w:val="003A7A8A"/>
    <w:rsid w:val="003B0AE8"/>
    <w:rsid w:val="003B0ED3"/>
    <w:rsid w:val="003B1A21"/>
    <w:rsid w:val="003B1A51"/>
    <w:rsid w:val="003B1D14"/>
    <w:rsid w:val="003B1D56"/>
    <w:rsid w:val="003B242D"/>
    <w:rsid w:val="003B24CA"/>
    <w:rsid w:val="003B2832"/>
    <w:rsid w:val="003B2A07"/>
    <w:rsid w:val="003B2EB5"/>
    <w:rsid w:val="003B30A2"/>
    <w:rsid w:val="003B35D6"/>
    <w:rsid w:val="003B380D"/>
    <w:rsid w:val="003B3FE7"/>
    <w:rsid w:val="003B40AA"/>
    <w:rsid w:val="003B421C"/>
    <w:rsid w:val="003B454A"/>
    <w:rsid w:val="003B4BB7"/>
    <w:rsid w:val="003B4CCA"/>
    <w:rsid w:val="003B5350"/>
    <w:rsid w:val="003B5E3B"/>
    <w:rsid w:val="003B5EA0"/>
    <w:rsid w:val="003B6298"/>
    <w:rsid w:val="003B63AE"/>
    <w:rsid w:val="003B6E05"/>
    <w:rsid w:val="003B70A6"/>
    <w:rsid w:val="003B70F3"/>
    <w:rsid w:val="003B70FF"/>
    <w:rsid w:val="003B7403"/>
    <w:rsid w:val="003B74C0"/>
    <w:rsid w:val="003B74F5"/>
    <w:rsid w:val="003B7836"/>
    <w:rsid w:val="003B7AF0"/>
    <w:rsid w:val="003B7CCC"/>
    <w:rsid w:val="003B7E2E"/>
    <w:rsid w:val="003C03FB"/>
    <w:rsid w:val="003C0904"/>
    <w:rsid w:val="003C0A65"/>
    <w:rsid w:val="003C1190"/>
    <w:rsid w:val="003C1425"/>
    <w:rsid w:val="003C1611"/>
    <w:rsid w:val="003C1D6B"/>
    <w:rsid w:val="003C1E02"/>
    <w:rsid w:val="003C2136"/>
    <w:rsid w:val="003C25A8"/>
    <w:rsid w:val="003C273B"/>
    <w:rsid w:val="003C30C4"/>
    <w:rsid w:val="003C3311"/>
    <w:rsid w:val="003C362B"/>
    <w:rsid w:val="003C36DD"/>
    <w:rsid w:val="003C37EB"/>
    <w:rsid w:val="003C3AE1"/>
    <w:rsid w:val="003C4868"/>
    <w:rsid w:val="003C4A34"/>
    <w:rsid w:val="003C5192"/>
    <w:rsid w:val="003C52F2"/>
    <w:rsid w:val="003C53BC"/>
    <w:rsid w:val="003C57EC"/>
    <w:rsid w:val="003C62E0"/>
    <w:rsid w:val="003C6CC5"/>
    <w:rsid w:val="003C6FA9"/>
    <w:rsid w:val="003C6FDB"/>
    <w:rsid w:val="003C733F"/>
    <w:rsid w:val="003C79E4"/>
    <w:rsid w:val="003C7AB6"/>
    <w:rsid w:val="003C7C90"/>
    <w:rsid w:val="003C7F7B"/>
    <w:rsid w:val="003D03F5"/>
    <w:rsid w:val="003D04E3"/>
    <w:rsid w:val="003D0872"/>
    <w:rsid w:val="003D0B0A"/>
    <w:rsid w:val="003D1968"/>
    <w:rsid w:val="003D1FF4"/>
    <w:rsid w:val="003D2703"/>
    <w:rsid w:val="003D3052"/>
    <w:rsid w:val="003D3108"/>
    <w:rsid w:val="003D358A"/>
    <w:rsid w:val="003D38F6"/>
    <w:rsid w:val="003D3AAB"/>
    <w:rsid w:val="003D3BE6"/>
    <w:rsid w:val="003D407D"/>
    <w:rsid w:val="003D4558"/>
    <w:rsid w:val="003D45AA"/>
    <w:rsid w:val="003D46C5"/>
    <w:rsid w:val="003D475D"/>
    <w:rsid w:val="003D4A40"/>
    <w:rsid w:val="003D4E7A"/>
    <w:rsid w:val="003D4FAD"/>
    <w:rsid w:val="003D51DC"/>
    <w:rsid w:val="003D5264"/>
    <w:rsid w:val="003D6077"/>
    <w:rsid w:val="003D6A70"/>
    <w:rsid w:val="003D7146"/>
    <w:rsid w:val="003D7376"/>
    <w:rsid w:val="003D75CF"/>
    <w:rsid w:val="003D790E"/>
    <w:rsid w:val="003D7A31"/>
    <w:rsid w:val="003D7D13"/>
    <w:rsid w:val="003D7FC5"/>
    <w:rsid w:val="003E0160"/>
    <w:rsid w:val="003E0357"/>
    <w:rsid w:val="003E0451"/>
    <w:rsid w:val="003E053A"/>
    <w:rsid w:val="003E07FB"/>
    <w:rsid w:val="003E0AA9"/>
    <w:rsid w:val="003E10BE"/>
    <w:rsid w:val="003E1586"/>
    <w:rsid w:val="003E17E6"/>
    <w:rsid w:val="003E248F"/>
    <w:rsid w:val="003E2680"/>
    <w:rsid w:val="003E2D41"/>
    <w:rsid w:val="003E2FEB"/>
    <w:rsid w:val="003E3E9F"/>
    <w:rsid w:val="003E42B9"/>
    <w:rsid w:val="003E4E9F"/>
    <w:rsid w:val="003E564B"/>
    <w:rsid w:val="003E570D"/>
    <w:rsid w:val="003E586F"/>
    <w:rsid w:val="003E58B0"/>
    <w:rsid w:val="003E5A88"/>
    <w:rsid w:val="003E6590"/>
    <w:rsid w:val="003E68FA"/>
    <w:rsid w:val="003E6F8E"/>
    <w:rsid w:val="003E76C6"/>
    <w:rsid w:val="003E7732"/>
    <w:rsid w:val="003E7B89"/>
    <w:rsid w:val="003F028B"/>
    <w:rsid w:val="003F0519"/>
    <w:rsid w:val="003F055A"/>
    <w:rsid w:val="003F0B76"/>
    <w:rsid w:val="003F0ECE"/>
    <w:rsid w:val="003F1232"/>
    <w:rsid w:val="003F123E"/>
    <w:rsid w:val="003F1260"/>
    <w:rsid w:val="003F1354"/>
    <w:rsid w:val="003F1575"/>
    <w:rsid w:val="003F162C"/>
    <w:rsid w:val="003F1757"/>
    <w:rsid w:val="003F19CF"/>
    <w:rsid w:val="003F1B22"/>
    <w:rsid w:val="003F1C3F"/>
    <w:rsid w:val="003F1DDB"/>
    <w:rsid w:val="003F20DD"/>
    <w:rsid w:val="003F238B"/>
    <w:rsid w:val="003F29C5"/>
    <w:rsid w:val="003F2A1C"/>
    <w:rsid w:val="003F2AC7"/>
    <w:rsid w:val="003F2EAD"/>
    <w:rsid w:val="003F30A7"/>
    <w:rsid w:val="003F3974"/>
    <w:rsid w:val="003F3BD0"/>
    <w:rsid w:val="003F3D87"/>
    <w:rsid w:val="003F3E38"/>
    <w:rsid w:val="003F41EA"/>
    <w:rsid w:val="003F44C1"/>
    <w:rsid w:val="003F4E59"/>
    <w:rsid w:val="003F4FDD"/>
    <w:rsid w:val="003F52EE"/>
    <w:rsid w:val="003F5519"/>
    <w:rsid w:val="003F5803"/>
    <w:rsid w:val="003F5833"/>
    <w:rsid w:val="003F5A50"/>
    <w:rsid w:val="003F5C38"/>
    <w:rsid w:val="003F61B2"/>
    <w:rsid w:val="003F662B"/>
    <w:rsid w:val="003F67A9"/>
    <w:rsid w:val="003F6956"/>
    <w:rsid w:val="003F69D6"/>
    <w:rsid w:val="003F6CB5"/>
    <w:rsid w:val="003F72C5"/>
    <w:rsid w:val="003F7583"/>
    <w:rsid w:val="003F7A55"/>
    <w:rsid w:val="003F7A7B"/>
    <w:rsid w:val="003F7AF4"/>
    <w:rsid w:val="004008D3"/>
    <w:rsid w:val="00400C15"/>
    <w:rsid w:val="00400F25"/>
    <w:rsid w:val="004013F1"/>
    <w:rsid w:val="004019F4"/>
    <w:rsid w:val="00401BF0"/>
    <w:rsid w:val="00401E90"/>
    <w:rsid w:val="00401FF8"/>
    <w:rsid w:val="00402799"/>
    <w:rsid w:val="0040286B"/>
    <w:rsid w:val="00402886"/>
    <w:rsid w:val="00402FB8"/>
    <w:rsid w:val="00403320"/>
    <w:rsid w:val="00403597"/>
    <w:rsid w:val="004036B9"/>
    <w:rsid w:val="0040374A"/>
    <w:rsid w:val="004037CE"/>
    <w:rsid w:val="004039FB"/>
    <w:rsid w:val="00403E36"/>
    <w:rsid w:val="00404373"/>
    <w:rsid w:val="00404AC6"/>
    <w:rsid w:val="00404DD9"/>
    <w:rsid w:val="00404EB6"/>
    <w:rsid w:val="00404EFF"/>
    <w:rsid w:val="00405027"/>
    <w:rsid w:val="00405076"/>
    <w:rsid w:val="004055EC"/>
    <w:rsid w:val="00405A96"/>
    <w:rsid w:val="00406164"/>
    <w:rsid w:val="00406679"/>
    <w:rsid w:val="004067A4"/>
    <w:rsid w:val="00406D97"/>
    <w:rsid w:val="00406EF0"/>
    <w:rsid w:val="00406FB8"/>
    <w:rsid w:val="00407102"/>
    <w:rsid w:val="00407401"/>
    <w:rsid w:val="0040753A"/>
    <w:rsid w:val="00407806"/>
    <w:rsid w:val="00407ECD"/>
    <w:rsid w:val="00407F52"/>
    <w:rsid w:val="004101E9"/>
    <w:rsid w:val="00410805"/>
    <w:rsid w:val="00410B8D"/>
    <w:rsid w:val="00410BC9"/>
    <w:rsid w:val="00410EB7"/>
    <w:rsid w:val="00410F5A"/>
    <w:rsid w:val="0041108A"/>
    <w:rsid w:val="0041133C"/>
    <w:rsid w:val="004113C1"/>
    <w:rsid w:val="00411E12"/>
    <w:rsid w:val="00412216"/>
    <w:rsid w:val="0041238B"/>
    <w:rsid w:val="0041241B"/>
    <w:rsid w:val="00412714"/>
    <w:rsid w:val="00412778"/>
    <w:rsid w:val="00412A71"/>
    <w:rsid w:val="00412D94"/>
    <w:rsid w:val="00413AE7"/>
    <w:rsid w:val="004140AE"/>
    <w:rsid w:val="004140DA"/>
    <w:rsid w:val="004143AA"/>
    <w:rsid w:val="004149D7"/>
    <w:rsid w:val="00414C7D"/>
    <w:rsid w:val="00414FCE"/>
    <w:rsid w:val="004158EB"/>
    <w:rsid w:val="00415E2D"/>
    <w:rsid w:val="0041641C"/>
    <w:rsid w:val="00416421"/>
    <w:rsid w:val="00416ACE"/>
    <w:rsid w:val="00416B20"/>
    <w:rsid w:val="004170D2"/>
    <w:rsid w:val="00417393"/>
    <w:rsid w:val="004174AF"/>
    <w:rsid w:val="0041752C"/>
    <w:rsid w:val="00420748"/>
    <w:rsid w:val="0042093B"/>
    <w:rsid w:val="00420BEE"/>
    <w:rsid w:val="00421033"/>
    <w:rsid w:val="004213B8"/>
    <w:rsid w:val="00421594"/>
    <w:rsid w:val="00421C63"/>
    <w:rsid w:val="00421EF0"/>
    <w:rsid w:val="00421F99"/>
    <w:rsid w:val="00422007"/>
    <w:rsid w:val="00422038"/>
    <w:rsid w:val="0042242D"/>
    <w:rsid w:val="0042265C"/>
    <w:rsid w:val="0042270D"/>
    <w:rsid w:val="00422ABD"/>
    <w:rsid w:val="00422DA7"/>
    <w:rsid w:val="00422E41"/>
    <w:rsid w:val="004232DF"/>
    <w:rsid w:val="0042365E"/>
    <w:rsid w:val="00423690"/>
    <w:rsid w:val="00423BF3"/>
    <w:rsid w:val="004245A8"/>
    <w:rsid w:val="0042463D"/>
    <w:rsid w:val="004246A4"/>
    <w:rsid w:val="004250B4"/>
    <w:rsid w:val="0042525A"/>
    <w:rsid w:val="00425297"/>
    <w:rsid w:val="004252FC"/>
    <w:rsid w:val="00425C7A"/>
    <w:rsid w:val="00426144"/>
    <w:rsid w:val="0042614F"/>
    <w:rsid w:val="0042728C"/>
    <w:rsid w:val="00427BF3"/>
    <w:rsid w:val="00427DFC"/>
    <w:rsid w:val="00427EDB"/>
    <w:rsid w:val="004307B8"/>
    <w:rsid w:val="00430A7E"/>
    <w:rsid w:val="00430D5C"/>
    <w:rsid w:val="0043113C"/>
    <w:rsid w:val="004316C4"/>
    <w:rsid w:val="00431E77"/>
    <w:rsid w:val="00432041"/>
    <w:rsid w:val="0043272A"/>
    <w:rsid w:val="0043295A"/>
    <w:rsid w:val="0043298E"/>
    <w:rsid w:val="00432F1B"/>
    <w:rsid w:val="00433854"/>
    <w:rsid w:val="00433C12"/>
    <w:rsid w:val="00433F77"/>
    <w:rsid w:val="00433FB9"/>
    <w:rsid w:val="00433FD4"/>
    <w:rsid w:val="00433FD8"/>
    <w:rsid w:val="00434163"/>
    <w:rsid w:val="004343E8"/>
    <w:rsid w:val="00434AB9"/>
    <w:rsid w:val="00434F95"/>
    <w:rsid w:val="00435A05"/>
    <w:rsid w:val="0043605B"/>
    <w:rsid w:val="00436411"/>
    <w:rsid w:val="004367EF"/>
    <w:rsid w:val="004368B7"/>
    <w:rsid w:val="00436D46"/>
    <w:rsid w:val="004370FA"/>
    <w:rsid w:val="00437297"/>
    <w:rsid w:val="0043755D"/>
    <w:rsid w:val="00437569"/>
    <w:rsid w:val="004375C2"/>
    <w:rsid w:val="004375F1"/>
    <w:rsid w:val="004376A2"/>
    <w:rsid w:val="00440023"/>
    <w:rsid w:val="00440095"/>
    <w:rsid w:val="00440594"/>
    <w:rsid w:val="00440A22"/>
    <w:rsid w:val="00440A5A"/>
    <w:rsid w:val="00440D0D"/>
    <w:rsid w:val="0044190A"/>
    <w:rsid w:val="00441CE2"/>
    <w:rsid w:val="00441E23"/>
    <w:rsid w:val="0044238F"/>
    <w:rsid w:val="004423B3"/>
    <w:rsid w:val="0044254B"/>
    <w:rsid w:val="00442821"/>
    <w:rsid w:val="00442AB0"/>
    <w:rsid w:val="00442D12"/>
    <w:rsid w:val="004434FE"/>
    <w:rsid w:val="004435FE"/>
    <w:rsid w:val="00443A86"/>
    <w:rsid w:val="00443DD5"/>
    <w:rsid w:val="004442D1"/>
    <w:rsid w:val="004449F6"/>
    <w:rsid w:val="004450BF"/>
    <w:rsid w:val="004451CA"/>
    <w:rsid w:val="0044566E"/>
    <w:rsid w:val="0044587D"/>
    <w:rsid w:val="004458E9"/>
    <w:rsid w:val="00445C67"/>
    <w:rsid w:val="0044636C"/>
    <w:rsid w:val="00446402"/>
    <w:rsid w:val="004464A1"/>
    <w:rsid w:val="004466D7"/>
    <w:rsid w:val="0044724F"/>
    <w:rsid w:val="004472CA"/>
    <w:rsid w:val="00447649"/>
    <w:rsid w:val="0044785E"/>
    <w:rsid w:val="00450380"/>
    <w:rsid w:val="00450804"/>
    <w:rsid w:val="00450899"/>
    <w:rsid w:val="00450B53"/>
    <w:rsid w:val="00451922"/>
    <w:rsid w:val="00451F84"/>
    <w:rsid w:val="0045226A"/>
    <w:rsid w:val="00452DD7"/>
    <w:rsid w:val="0045337C"/>
    <w:rsid w:val="0045371E"/>
    <w:rsid w:val="00453842"/>
    <w:rsid w:val="00453A7A"/>
    <w:rsid w:val="00453DB9"/>
    <w:rsid w:val="00454399"/>
    <w:rsid w:val="0045471D"/>
    <w:rsid w:val="004549F9"/>
    <w:rsid w:val="00454AF5"/>
    <w:rsid w:val="00454BBD"/>
    <w:rsid w:val="00454C71"/>
    <w:rsid w:val="00454C76"/>
    <w:rsid w:val="00454D29"/>
    <w:rsid w:val="004552E6"/>
    <w:rsid w:val="0045553E"/>
    <w:rsid w:val="0045577D"/>
    <w:rsid w:val="00455815"/>
    <w:rsid w:val="00455BAA"/>
    <w:rsid w:val="00455FCD"/>
    <w:rsid w:val="00456013"/>
    <w:rsid w:val="00456243"/>
    <w:rsid w:val="004564C1"/>
    <w:rsid w:val="004566F4"/>
    <w:rsid w:val="00457042"/>
    <w:rsid w:val="004573B5"/>
    <w:rsid w:val="0045781C"/>
    <w:rsid w:val="00457827"/>
    <w:rsid w:val="00457F7A"/>
    <w:rsid w:val="004601D7"/>
    <w:rsid w:val="004602CA"/>
    <w:rsid w:val="0046078F"/>
    <w:rsid w:val="004609BB"/>
    <w:rsid w:val="004609F7"/>
    <w:rsid w:val="00460ED4"/>
    <w:rsid w:val="00460F19"/>
    <w:rsid w:val="00461160"/>
    <w:rsid w:val="00461B02"/>
    <w:rsid w:val="00461F81"/>
    <w:rsid w:val="00462E1A"/>
    <w:rsid w:val="00462F1A"/>
    <w:rsid w:val="004635A9"/>
    <w:rsid w:val="00463682"/>
    <w:rsid w:val="00463946"/>
    <w:rsid w:val="00463E18"/>
    <w:rsid w:val="00463F0B"/>
    <w:rsid w:val="00463F87"/>
    <w:rsid w:val="00464440"/>
    <w:rsid w:val="00464713"/>
    <w:rsid w:val="00464E87"/>
    <w:rsid w:val="004650E8"/>
    <w:rsid w:val="0046564E"/>
    <w:rsid w:val="00465792"/>
    <w:rsid w:val="00465ACB"/>
    <w:rsid w:val="00465E2B"/>
    <w:rsid w:val="00465FF5"/>
    <w:rsid w:val="00466250"/>
    <w:rsid w:val="00466282"/>
    <w:rsid w:val="00466FC0"/>
    <w:rsid w:val="0046724F"/>
    <w:rsid w:val="00467859"/>
    <w:rsid w:val="00467889"/>
    <w:rsid w:val="00467FA4"/>
    <w:rsid w:val="00470235"/>
    <w:rsid w:val="004707B2"/>
    <w:rsid w:val="00470829"/>
    <w:rsid w:val="00470AA7"/>
    <w:rsid w:val="00470B4F"/>
    <w:rsid w:val="00470C42"/>
    <w:rsid w:val="00471179"/>
    <w:rsid w:val="0047133E"/>
    <w:rsid w:val="004717D1"/>
    <w:rsid w:val="00471BD0"/>
    <w:rsid w:val="00471C90"/>
    <w:rsid w:val="00472352"/>
    <w:rsid w:val="0047256C"/>
    <w:rsid w:val="00472981"/>
    <w:rsid w:val="0047359C"/>
    <w:rsid w:val="004737D8"/>
    <w:rsid w:val="00473AA8"/>
    <w:rsid w:val="00473DBD"/>
    <w:rsid w:val="00473E84"/>
    <w:rsid w:val="00473F2D"/>
    <w:rsid w:val="00474003"/>
    <w:rsid w:val="004741B7"/>
    <w:rsid w:val="004741CB"/>
    <w:rsid w:val="004742E4"/>
    <w:rsid w:val="00474513"/>
    <w:rsid w:val="00474784"/>
    <w:rsid w:val="00474911"/>
    <w:rsid w:val="00474919"/>
    <w:rsid w:val="00474B0C"/>
    <w:rsid w:val="00474FEE"/>
    <w:rsid w:val="00475F61"/>
    <w:rsid w:val="00476BB3"/>
    <w:rsid w:val="004770CC"/>
    <w:rsid w:val="004775C8"/>
    <w:rsid w:val="00477B1A"/>
    <w:rsid w:val="004803FC"/>
    <w:rsid w:val="0048043F"/>
    <w:rsid w:val="00480642"/>
    <w:rsid w:val="00480871"/>
    <w:rsid w:val="00480948"/>
    <w:rsid w:val="00480AF1"/>
    <w:rsid w:val="00480BB7"/>
    <w:rsid w:val="00480DBD"/>
    <w:rsid w:val="00480EE6"/>
    <w:rsid w:val="0048107E"/>
    <w:rsid w:val="004811D3"/>
    <w:rsid w:val="0048130D"/>
    <w:rsid w:val="00482130"/>
    <w:rsid w:val="004822A2"/>
    <w:rsid w:val="00482516"/>
    <w:rsid w:val="00482B1E"/>
    <w:rsid w:val="00482B37"/>
    <w:rsid w:val="00483977"/>
    <w:rsid w:val="0048414D"/>
    <w:rsid w:val="004841C9"/>
    <w:rsid w:val="00484FC6"/>
    <w:rsid w:val="0048514A"/>
    <w:rsid w:val="0048528E"/>
    <w:rsid w:val="0048530A"/>
    <w:rsid w:val="00485566"/>
    <w:rsid w:val="00485571"/>
    <w:rsid w:val="004859B7"/>
    <w:rsid w:val="00485B79"/>
    <w:rsid w:val="00486028"/>
    <w:rsid w:val="0048657B"/>
    <w:rsid w:val="00486B74"/>
    <w:rsid w:val="004872E5"/>
    <w:rsid w:val="004873B3"/>
    <w:rsid w:val="004874EA"/>
    <w:rsid w:val="00487D48"/>
    <w:rsid w:val="00487E49"/>
    <w:rsid w:val="00490888"/>
    <w:rsid w:val="004912DC"/>
    <w:rsid w:val="00491479"/>
    <w:rsid w:val="00491AEE"/>
    <w:rsid w:val="00491CC2"/>
    <w:rsid w:val="00491E62"/>
    <w:rsid w:val="00492122"/>
    <w:rsid w:val="0049214D"/>
    <w:rsid w:val="00492401"/>
    <w:rsid w:val="00492903"/>
    <w:rsid w:val="00492C36"/>
    <w:rsid w:val="004939C9"/>
    <w:rsid w:val="00493B9A"/>
    <w:rsid w:val="00493BF2"/>
    <w:rsid w:val="00493DBF"/>
    <w:rsid w:val="0049430A"/>
    <w:rsid w:val="00494B9B"/>
    <w:rsid w:val="00494D8D"/>
    <w:rsid w:val="004951F2"/>
    <w:rsid w:val="0049551D"/>
    <w:rsid w:val="00495B39"/>
    <w:rsid w:val="00495CF7"/>
    <w:rsid w:val="00495E5A"/>
    <w:rsid w:val="004960D5"/>
    <w:rsid w:val="00496159"/>
    <w:rsid w:val="004963AE"/>
    <w:rsid w:val="00496620"/>
    <w:rsid w:val="00496720"/>
    <w:rsid w:val="004967EC"/>
    <w:rsid w:val="0049682E"/>
    <w:rsid w:val="00496CA3"/>
    <w:rsid w:val="0049731B"/>
    <w:rsid w:val="004974EE"/>
    <w:rsid w:val="00497554"/>
    <w:rsid w:val="00497887"/>
    <w:rsid w:val="004978A6"/>
    <w:rsid w:val="00497981"/>
    <w:rsid w:val="004A0262"/>
    <w:rsid w:val="004A0678"/>
    <w:rsid w:val="004A08C2"/>
    <w:rsid w:val="004A0C3C"/>
    <w:rsid w:val="004A0EA0"/>
    <w:rsid w:val="004A0FF6"/>
    <w:rsid w:val="004A1022"/>
    <w:rsid w:val="004A1366"/>
    <w:rsid w:val="004A2511"/>
    <w:rsid w:val="004A2585"/>
    <w:rsid w:val="004A25B2"/>
    <w:rsid w:val="004A27DD"/>
    <w:rsid w:val="004A28E9"/>
    <w:rsid w:val="004A2D9A"/>
    <w:rsid w:val="004A2E7B"/>
    <w:rsid w:val="004A31AD"/>
    <w:rsid w:val="004A356D"/>
    <w:rsid w:val="004A39B1"/>
    <w:rsid w:val="004A39D7"/>
    <w:rsid w:val="004A3CEF"/>
    <w:rsid w:val="004A3DB7"/>
    <w:rsid w:val="004A3E88"/>
    <w:rsid w:val="004A3FB3"/>
    <w:rsid w:val="004A4521"/>
    <w:rsid w:val="004A4608"/>
    <w:rsid w:val="004A4807"/>
    <w:rsid w:val="004A4A3B"/>
    <w:rsid w:val="004A52D8"/>
    <w:rsid w:val="004A53CE"/>
    <w:rsid w:val="004A5712"/>
    <w:rsid w:val="004A580F"/>
    <w:rsid w:val="004A598F"/>
    <w:rsid w:val="004A5D16"/>
    <w:rsid w:val="004A6AA7"/>
    <w:rsid w:val="004A6DF4"/>
    <w:rsid w:val="004A7000"/>
    <w:rsid w:val="004A72A2"/>
    <w:rsid w:val="004A7341"/>
    <w:rsid w:val="004A7C06"/>
    <w:rsid w:val="004A7C38"/>
    <w:rsid w:val="004A7F21"/>
    <w:rsid w:val="004A7FC6"/>
    <w:rsid w:val="004B044F"/>
    <w:rsid w:val="004B0578"/>
    <w:rsid w:val="004B07B1"/>
    <w:rsid w:val="004B09C2"/>
    <w:rsid w:val="004B0C61"/>
    <w:rsid w:val="004B0CF4"/>
    <w:rsid w:val="004B105D"/>
    <w:rsid w:val="004B182B"/>
    <w:rsid w:val="004B19AC"/>
    <w:rsid w:val="004B1D6C"/>
    <w:rsid w:val="004B2069"/>
    <w:rsid w:val="004B2726"/>
    <w:rsid w:val="004B2823"/>
    <w:rsid w:val="004B28A3"/>
    <w:rsid w:val="004B28FF"/>
    <w:rsid w:val="004B2DE2"/>
    <w:rsid w:val="004B2E02"/>
    <w:rsid w:val="004B3652"/>
    <w:rsid w:val="004B3AC9"/>
    <w:rsid w:val="004B3B04"/>
    <w:rsid w:val="004B3BB7"/>
    <w:rsid w:val="004B3DD5"/>
    <w:rsid w:val="004B3E64"/>
    <w:rsid w:val="004B3F2C"/>
    <w:rsid w:val="004B46ED"/>
    <w:rsid w:val="004B499D"/>
    <w:rsid w:val="004B49DE"/>
    <w:rsid w:val="004B4E06"/>
    <w:rsid w:val="004B51A8"/>
    <w:rsid w:val="004B538D"/>
    <w:rsid w:val="004B62CC"/>
    <w:rsid w:val="004B697A"/>
    <w:rsid w:val="004B741B"/>
    <w:rsid w:val="004B75C1"/>
    <w:rsid w:val="004C0010"/>
    <w:rsid w:val="004C0185"/>
    <w:rsid w:val="004C071F"/>
    <w:rsid w:val="004C0A3F"/>
    <w:rsid w:val="004C0B50"/>
    <w:rsid w:val="004C0CFB"/>
    <w:rsid w:val="004C0D53"/>
    <w:rsid w:val="004C12DD"/>
    <w:rsid w:val="004C16B6"/>
    <w:rsid w:val="004C16DE"/>
    <w:rsid w:val="004C172A"/>
    <w:rsid w:val="004C1B39"/>
    <w:rsid w:val="004C1BF4"/>
    <w:rsid w:val="004C1D15"/>
    <w:rsid w:val="004C217A"/>
    <w:rsid w:val="004C28B0"/>
    <w:rsid w:val="004C2B1B"/>
    <w:rsid w:val="004C300E"/>
    <w:rsid w:val="004C30EC"/>
    <w:rsid w:val="004C3855"/>
    <w:rsid w:val="004C3FEC"/>
    <w:rsid w:val="004C496B"/>
    <w:rsid w:val="004C54CF"/>
    <w:rsid w:val="004C5509"/>
    <w:rsid w:val="004C575A"/>
    <w:rsid w:val="004C5B67"/>
    <w:rsid w:val="004C637C"/>
    <w:rsid w:val="004C6476"/>
    <w:rsid w:val="004C6A93"/>
    <w:rsid w:val="004C6D75"/>
    <w:rsid w:val="004C768C"/>
    <w:rsid w:val="004C7FDB"/>
    <w:rsid w:val="004D0099"/>
    <w:rsid w:val="004D0162"/>
    <w:rsid w:val="004D0ABA"/>
    <w:rsid w:val="004D0D30"/>
    <w:rsid w:val="004D0FB9"/>
    <w:rsid w:val="004D10F5"/>
    <w:rsid w:val="004D16D9"/>
    <w:rsid w:val="004D1CF1"/>
    <w:rsid w:val="004D1E10"/>
    <w:rsid w:val="004D2117"/>
    <w:rsid w:val="004D2ADD"/>
    <w:rsid w:val="004D34B2"/>
    <w:rsid w:val="004D3B31"/>
    <w:rsid w:val="004D3F4C"/>
    <w:rsid w:val="004D4BA2"/>
    <w:rsid w:val="004D4E10"/>
    <w:rsid w:val="004D4F34"/>
    <w:rsid w:val="004D520C"/>
    <w:rsid w:val="004D593E"/>
    <w:rsid w:val="004D5CB9"/>
    <w:rsid w:val="004D5ECB"/>
    <w:rsid w:val="004D60D6"/>
    <w:rsid w:val="004D67E5"/>
    <w:rsid w:val="004D6BDC"/>
    <w:rsid w:val="004D6C2F"/>
    <w:rsid w:val="004D6DAD"/>
    <w:rsid w:val="004D71B6"/>
    <w:rsid w:val="004D7238"/>
    <w:rsid w:val="004D783B"/>
    <w:rsid w:val="004D7950"/>
    <w:rsid w:val="004D79C1"/>
    <w:rsid w:val="004D7D16"/>
    <w:rsid w:val="004D7D54"/>
    <w:rsid w:val="004E02EB"/>
    <w:rsid w:val="004E0B78"/>
    <w:rsid w:val="004E0B7F"/>
    <w:rsid w:val="004E0E4D"/>
    <w:rsid w:val="004E0F52"/>
    <w:rsid w:val="004E10B1"/>
    <w:rsid w:val="004E128E"/>
    <w:rsid w:val="004E15F4"/>
    <w:rsid w:val="004E1632"/>
    <w:rsid w:val="004E1EEE"/>
    <w:rsid w:val="004E23F2"/>
    <w:rsid w:val="004E272C"/>
    <w:rsid w:val="004E27E9"/>
    <w:rsid w:val="004E2A44"/>
    <w:rsid w:val="004E2D42"/>
    <w:rsid w:val="004E2DEB"/>
    <w:rsid w:val="004E3237"/>
    <w:rsid w:val="004E347F"/>
    <w:rsid w:val="004E3838"/>
    <w:rsid w:val="004E3B98"/>
    <w:rsid w:val="004E3D25"/>
    <w:rsid w:val="004E41AA"/>
    <w:rsid w:val="004E4246"/>
    <w:rsid w:val="004E4D0D"/>
    <w:rsid w:val="004E4ED8"/>
    <w:rsid w:val="004E4F16"/>
    <w:rsid w:val="004E4F5E"/>
    <w:rsid w:val="004E56E7"/>
    <w:rsid w:val="004E65B0"/>
    <w:rsid w:val="004E6793"/>
    <w:rsid w:val="004E6981"/>
    <w:rsid w:val="004E6D75"/>
    <w:rsid w:val="004E6FFD"/>
    <w:rsid w:val="004E7018"/>
    <w:rsid w:val="004E767A"/>
    <w:rsid w:val="004E7B26"/>
    <w:rsid w:val="004E7BAE"/>
    <w:rsid w:val="004E7ECB"/>
    <w:rsid w:val="004F11F0"/>
    <w:rsid w:val="004F1664"/>
    <w:rsid w:val="004F189A"/>
    <w:rsid w:val="004F18A1"/>
    <w:rsid w:val="004F19E8"/>
    <w:rsid w:val="004F1C9B"/>
    <w:rsid w:val="004F1E7D"/>
    <w:rsid w:val="004F31A5"/>
    <w:rsid w:val="004F31EE"/>
    <w:rsid w:val="004F32F8"/>
    <w:rsid w:val="004F3348"/>
    <w:rsid w:val="004F33C9"/>
    <w:rsid w:val="004F362E"/>
    <w:rsid w:val="004F4419"/>
    <w:rsid w:val="004F44B0"/>
    <w:rsid w:val="004F486A"/>
    <w:rsid w:val="004F487F"/>
    <w:rsid w:val="004F49CB"/>
    <w:rsid w:val="004F4A8D"/>
    <w:rsid w:val="004F53C5"/>
    <w:rsid w:val="004F54DD"/>
    <w:rsid w:val="004F5677"/>
    <w:rsid w:val="004F5AF1"/>
    <w:rsid w:val="004F5B72"/>
    <w:rsid w:val="004F5C73"/>
    <w:rsid w:val="004F5D2E"/>
    <w:rsid w:val="004F6371"/>
    <w:rsid w:val="004F67AD"/>
    <w:rsid w:val="004F6949"/>
    <w:rsid w:val="004F6BB9"/>
    <w:rsid w:val="004F6C89"/>
    <w:rsid w:val="004F716A"/>
    <w:rsid w:val="004F7210"/>
    <w:rsid w:val="004F7944"/>
    <w:rsid w:val="004F7B66"/>
    <w:rsid w:val="004F7BAB"/>
    <w:rsid w:val="004F7E8A"/>
    <w:rsid w:val="0050000F"/>
    <w:rsid w:val="0050064B"/>
    <w:rsid w:val="005007DD"/>
    <w:rsid w:val="00500867"/>
    <w:rsid w:val="00501121"/>
    <w:rsid w:val="00501F64"/>
    <w:rsid w:val="005020BC"/>
    <w:rsid w:val="005020FD"/>
    <w:rsid w:val="00502C49"/>
    <w:rsid w:val="00503126"/>
    <w:rsid w:val="00503194"/>
    <w:rsid w:val="005032A4"/>
    <w:rsid w:val="005034D9"/>
    <w:rsid w:val="00503716"/>
    <w:rsid w:val="00503744"/>
    <w:rsid w:val="00503DBD"/>
    <w:rsid w:val="00503F98"/>
    <w:rsid w:val="005041AF"/>
    <w:rsid w:val="00504254"/>
    <w:rsid w:val="00504CAF"/>
    <w:rsid w:val="005053A0"/>
    <w:rsid w:val="00505DE1"/>
    <w:rsid w:val="00505F21"/>
    <w:rsid w:val="00506351"/>
    <w:rsid w:val="005065DF"/>
    <w:rsid w:val="005066A8"/>
    <w:rsid w:val="00506763"/>
    <w:rsid w:val="005068FC"/>
    <w:rsid w:val="00507273"/>
    <w:rsid w:val="00507440"/>
    <w:rsid w:val="005077B3"/>
    <w:rsid w:val="005077C8"/>
    <w:rsid w:val="005079CC"/>
    <w:rsid w:val="00507AE9"/>
    <w:rsid w:val="00507C2A"/>
    <w:rsid w:val="00507CDC"/>
    <w:rsid w:val="0051021A"/>
    <w:rsid w:val="0051031C"/>
    <w:rsid w:val="0051048A"/>
    <w:rsid w:val="00510580"/>
    <w:rsid w:val="005108D5"/>
    <w:rsid w:val="005111AA"/>
    <w:rsid w:val="005112FF"/>
    <w:rsid w:val="005117F5"/>
    <w:rsid w:val="0051190A"/>
    <w:rsid w:val="00511970"/>
    <w:rsid w:val="00512302"/>
    <w:rsid w:val="0051262F"/>
    <w:rsid w:val="00512779"/>
    <w:rsid w:val="005129E4"/>
    <w:rsid w:val="00512A51"/>
    <w:rsid w:val="00512C23"/>
    <w:rsid w:val="00512D30"/>
    <w:rsid w:val="00513105"/>
    <w:rsid w:val="005139DD"/>
    <w:rsid w:val="00513CC2"/>
    <w:rsid w:val="00514042"/>
    <w:rsid w:val="00514165"/>
    <w:rsid w:val="00514564"/>
    <w:rsid w:val="005145AE"/>
    <w:rsid w:val="005148F4"/>
    <w:rsid w:val="00514C4D"/>
    <w:rsid w:val="005152BA"/>
    <w:rsid w:val="00515521"/>
    <w:rsid w:val="00515532"/>
    <w:rsid w:val="005164A1"/>
    <w:rsid w:val="00516651"/>
    <w:rsid w:val="00516791"/>
    <w:rsid w:val="00516C43"/>
    <w:rsid w:val="00516D48"/>
    <w:rsid w:val="00517964"/>
    <w:rsid w:val="00517CB8"/>
    <w:rsid w:val="005207CB"/>
    <w:rsid w:val="00520B1C"/>
    <w:rsid w:val="00520BAB"/>
    <w:rsid w:val="00520BC1"/>
    <w:rsid w:val="00520DFE"/>
    <w:rsid w:val="005210D3"/>
    <w:rsid w:val="005213F4"/>
    <w:rsid w:val="005219F7"/>
    <w:rsid w:val="00521B66"/>
    <w:rsid w:val="00522085"/>
    <w:rsid w:val="00522208"/>
    <w:rsid w:val="00522942"/>
    <w:rsid w:val="00522AF2"/>
    <w:rsid w:val="00522EA5"/>
    <w:rsid w:val="005230C9"/>
    <w:rsid w:val="0052345A"/>
    <w:rsid w:val="00523B61"/>
    <w:rsid w:val="00523E2F"/>
    <w:rsid w:val="00523FBE"/>
    <w:rsid w:val="005247FA"/>
    <w:rsid w:val="005248D3"/>
    <w:rsid w:val="00524C2A"/>
    <w:rsid w:val="005255D8"/>
    <w:rsid w:val="005257D9"/>
    <w:rsid w:val="005259C9"/>
    <w:rsid w:val="00525A75"/>
    <w:rsid w:val="00525E0C"/>
    <w:rsid w:val="00525F47"/>
    <w:rsid w:val="00525FB5"/>
    <w:rsid w:val="00526A75"/>
    <w:rsid w:val="00526E7F"/>
    <w:rsid w:val="0052752F"/>
    <w:rsid w:val="00527702"/>
    <w:rsid w:val="00527B2D"/>
    <w:rsid w:val="00527BA5"/>
    <w:rsid w:val="00527DDB"/>
    <w:rsid w:val="00527EDC"/>
    <w:rsid w:val="00530038"/>
    <w:rsid w:val="00530262"/>
    <w:rsid w:val="005306B9"/>
    <w:rsid w:val="00530A6D"/>
    <w:rsid w:val="00530F53"/>
    <w:rsid w:val="005314AD"/>
    <w:rsid w:val="00532645"/>
    <w:rsid w:val="005326C9"/>
    <w:rsid w:val="00532706"/>
    <w:rsid w:val="005334FD"/>
    <w:rsid w:val="00533590"/>
    <w:rsid w:val="005335EA"/>
    <w:rsid w:val="00533737"/>
    <w:rsid w:val="00533BE8"/>
    <w:rsid w:val="00533D2D"/>
    <w:rsid w:val="00533D4F"/>
    <w:rsid w:val="0053416B"/>
    <w:rsid w:val="00534714"/>
    <w:rsid w:val="00534925"/>
    <w:rsid w:val="00534A77"/>
    <w:rsid w:val="00534CAE"/>
    <w:rsid w:val="005350FC"/>
    <w:rsid w:val="00535C48"/>
    <w:rsid w:val="005365B9"/>
    <w:rsid w:val="005369A1"/>
    <w:rsid w:val="005370B3"/>
    <w:rsid w:val="00537A87"/>
    <w:rsid w:val="00537AB0"/>
    <w:rsid w:val="00537BB0"/>
    <w:rsid w:val="00537E72"/>
    <w:rsid w:val="00537F22"/>
    <w:rsid w:val="0054002F"/>
    <w:rsid w:val="005403EF"/>
    <w:rsid w:val="00540CE2"/>
    <w:rsid w:val="00540F08"/>
    <w:rsid w:val="00541293"/>
    <w:rsid w:val="005414FC"/>
    <w:rsid w:val="005418D9"/>
    <w:rsid w:val="005418EA"/>
    <w:rsid w:val="00542233"/>
    <w:rsid w:val="005424E6"/>
    <w:rsid w:val="005424EB"/>
    <w:rsid w:val="00542538"/>
    <w:rsid w:val="00542765"/>
    <w:rsid w:val="0054326D"/>
    <w:rsid w:val="00543C62"/>
    <w:rsid w:val="00543F0C"/>
    <w:rsid w:val="005443CC"/>
    <w:rsid w:val="00544619"/>
    <w:rsid w:val="00544A4C"/>
    <w:rsid w:val="00544D5C"/>
    <w:rsid w:val="00544DBB"/>
    <w:rsid w:val="0054545E"/>
    <w:rsid w:val="005457DB"/>
    <w:rsid w:val="00545844"/>
    <w:rsid w:val="0054588A"/>
    <w:rsid w:val="0054598A"/>
    <w:rsid w:val="00546079"/>
    <w:rsid w:val="0054634A"/>
    <w:rsid w:val="005463DD"/>
    <w:rsid w:val="005466D0"/>
    <w:rsid w:val="00547164"/>
    <w:rsid w:val="005471A4"/>
    <w:rsid w:val="00547412"/>
    <w:rsid w:val="00550059"/>
    <w:rsid w:val="00550640"/>
    <w:rsid w:val="00550D3D"/>
    <w:rsid w:val="00550DC8"/>
    <w:rsid w:val="00550E3D"/>
    <w:rsid w:val="005513FD"/>
    <w:rsid w:val="00551446"/>
    <w:rsid w:val="005515AE"/>
    <w:rsid w:val="0055175A"/>
    <w:rsid w:val="0055186E"/>
    <w:rsid w:val="00551B8C"/>
    <w:rsid w:val="0055263D"/>
    <w:rsid w:val="005526E7"/>
    <w:rsid w:val="00552DEC"/>
    <w:rsid w:val="00552E02"/>
    <w:rsid w:val="00552EF6"/>
    <w:rsid w:val="005532BA"/>
    <w:rsid w:val="00553571"/>
    <w:rsid w:val="00553AAE"/>
    <w:rsid w:val="00553E96"/>
    <w:rsid w:val="00554BBF"/>
    <w:rsid w:val="00554C56"/>
    <w:rsid w:val="00554F45"/>
    <w:rsid w:val="0055523F"/>
    <w:rsid w:val="00555258"/>
    <w:rsid w:val="0055544B"/>
    <w:rsid w:val="005559D9"/>
    <w:rsid w:val="00555CC5"/>
    <w:rsid w:val="00555FA6"/>
    <w:rsid w:val="005561E7"/>
    <w:rsid w:val="00556886"/>
    <w:rsid w:val="00556B07"/>
    <w:rsid w:val="00556D77"/>
    <w:rsid w:val="00557343"/>
    <w:rsid w:val="0055758D"/>
    <w:rsid w:val="00557913"/>
    <w:rsid w:val="00557957"/>
    <w:rsid w:val="00557DC0"/>
    <w:rsid w:val="00557F30"/>
    <w:rsid w:val="00557FA7"/>
    <w:rsid w:val="0056034E"/>
    <w:rsid w:val="0056042A"/>
    <w:rsid w:val="00560772"/>
    <w:rsid w:val="00560AF1"/>
    <w:rsid w:val="00560C67"/>
    <w:rsid w:val="00560F09"/>
    <w:rsid w:val="00560F32"/>
    <w:rsid w:val="0056134C"/>
    <w:rsid w:val="0056194C"/>
    <w:rsid w:val="00561C57"/>
    <w:rsid w:val="00562A86"/>
    <w:rsid w:val="00562C13"/>
    <w:rsid w:val="00562C8F"/>
    <w:rsid w:val="00563799"/>
    <w:rsid w:val="0056398C"/>
    <w:rsid w:val="005639AF"/>
    <w:rsid w:val="00563B09"/>
    <w:rsid w:val="00563B78"/>
    <w:rsid w:val="00563F40"/>
    <w:rsid w:val="00564253"/>
    <w:rsid w:val="0056462F"/>
    <w:rsid w:val="00564774"/>
    <w:rsid w:val="00564788"/>
    <w:rsid w:val="0056493A"/>
    <w:rsid w:val="00564AD4"/>
    <w:rsid w:val="00564E7E"/>
    <w:rsid w:val="005652E7"/>
    <w:rsid w:val="0056538F"/>
    <w:rsid w:val="005656D7"/>
    <w:rsid w:val="00565B6D"/>
    <w:rsid w:val="00565C93"/>
    <w:rsid w:val="00565DC7"/>
    <w:rsid w:val="00566183"/>
    <w:rsid w:val="005663CC"/>
    <w:rsid w:val="00566BC3"/>
    <w:rsid w:val="00566D7A"/>
    <w:rsid w:val="0056703C"/>
    <w:rsid w:val="00567294"/>
    <w:rsid w:val="00567B0A"/>
    <w:rsid w:val="00567FBB"/>
    <w:rsid w:val="0057071B"/>
    <w:rsid w:val="005708EB"/>
    <w:rsid w:val="00570990"/>
    <w:rsid w:val="0057120D"/>
    <w:rsid w:val="00571425"/>
    <w:rsid w:val="00571C76"/>
    <w:rsid w:val="005721CB"/>
    <w:rsid w:val="00572425"/>
    <w:rsid w:val="00572966"/>
    <w:rsid w:val="00572C49"/>
    <w:rsid w:val="00572C78"/>
    <w:rsid w:val="00572F2B"/>
    <w:rsid w:val="0057323F"/>
    <w:rsid w:val="00573465"/>
    <w:rsid w:val="00573A5E"/>
    <w:rsid w:val="00574071"/>
    <w:rsid w:val="00574540"/>
    <w:rsid w:val="0057491A"/>
    <w:rsid w:val="00574A77"/>
    <w:rsid w:val="00574A9A"/>
    <w:rsid w:val="00574AEA"/>
    <w:rsid w:val="00574CE8"/>
    <w:rsid w:val="00574D96"/>
    <w:rsid w:val="00574FAC"/>
    <w:rsid w:val="00575059"/>
    <w:rsid w:val="0057518F"/>
    <w:rsid w:val="005754CC"/>
    <w:rsid w:val="00575BB8"/>
    <w:rsid w:val="00575C7C"/>
    <w:rsid w:val="00575C8F"/>
    <w:rsid w:val="00575DE9"/>
    <w:rsid w:val="00575FB0"/>
    <w:rsid w:val="00576066"/>
    <w:rsid w:val="00576214"/>
    <w:rsid w:val="00576617"/>
    <w:rsid w:val="005769FD"/>
    <w:rsid w:val="00576A9C"/>
    <w:rsid w:val="00576F29"/>
    <w:rsid w:val="00576FA7"/>
    <w:rsid w:val="005771D5"/>
    <w:rsid w:val="00577E2E"/>
    <w:rsid w:val="00577E2F"/>
    <w:rsid w:val="0058011E"/>
    <w:rsid w:val="0058075B"/>
    <w:rsid w:val="0058155B"/>
    <w:rsid w:val="005816F4"/>
    <w:rsid w:val="00581B61"/>
    <w:rsid w:val="00581E98"/>
    <w:rsid w:val="00581F62"/>
    <w:rsid w:val="0058228A"/>
    <w:rsid w:val="0058269E"/>
    <w:rsid w:val="0058293D"/>
    <w:rsid w:val="00582A3D"/>
    <w:rsid w:val="00583052"/>
    <w:rsid w:val="005834D7"/>
    <w:rsid w:val="00583782"/>
    <w:rsid w:val="00583A48"/>
    <w:rsid w:val="00584096"/>
    <w:rsid w:val="005840A8"/>
    <w:rsid w:val="00584993"/>
    <w:rsid w:val="00584B49"/>
    <w:rsid w:val="00584C67"/>
    <w:rsid w:val="00585A2F"/>
    <w:rsid w:val="00585DDE"/>
    <w:rsid w:val="00586B6A"/>
    <w:rsid w:val="005870AA"/>
    <w:rsid w:val="0058758F"/>
    <w:rsid w:val="00587796"/>
    <w:rsid w:val="00587952"/>
    <w:rsid w:val="00587B7C"/>
    <w:rsid w:val="00587C0D"/>
    <w:rsid w:val="00587CB6"/>
    <w:rsid w:val="00587FD6"/>
    <w:rsid w:val="00590088"/>
    <w:rsid w:val="005900EE"/>
    <w:rsid w:val="00590E22"/>
    <w:rsid w:val="005916FE"/>
    <w:rsid w:val="00591A57"/>
    <w:rsid w:val="00591A5B"/>
    <w:rsid w:val="00591CD6"/>
    <w:rsid w:val="005920F8"/>
    <w:rsid w:val="0059234E"/>
    <w:rsid w:val="0059297A"/>
    <w:rsid w:val="0059299D"/>
    <w:rsid w:val="005932F8"/>
    <w:rsid w:val="0059370F"/>
    <w:rsid w:val="00593EFB"/>
    <w:rsid w:val="00593FA5"/>
    <w:rsid w:val="00594316"/>
    <w:rsid w:val="00594672"/>
    <w:rsid w:val="0059470D"/>
    <w:rsid w:val="005947A1"/>
    <w:rsid w:val="00594A30"/>
    <w:rsid w:val="005951A1"/>
    <w:rsid w:val="0059554E"/>
    <w:rsid w:val="005969D0"/>
    <w:rsid w:val="00596DCE"/>
    <w:rsid w:val="00596E38"/>
    <w:rsid w:val="00596F3B"/>
    <w:rsid w:val="005973B7"/>
    <w:rsid w:val="00597C6B"/>
    <w:rsid w:val="00597DA9"/>
    <w:rsid w:val="00597DCD"/>
    <w:rsid w:val="00597F1C"/>
    <w:rsid w:val="005A03DD"/>
    <w:rsid w:val="005A03E9"/>
    <w:rsid w:val="005A045D"/>
    <w:rsid w:val="005A0963"/>
    <w:rsid w:val="005A0AD5"/>
    <w:rsid w:val="005A0C04"/>
    <w:rsid w:val="005A0DC5"/>
    <w:rsid w:val="005A0F94"/>
    <w:rsid w:val="005A112C"/>
    <w:rsid w:val="005A1154"/>
    <w:rsid w:val="005A206A"/>
    <w:rsid w:val="005A20F9"/>
    <w:rsid w:val="005A2A19"/>
    <w:rsid w:val="005A2AC9"/>
    <w:rsid w:val="005A3291"/>
    <w:rsid w:val="005A371D"/>
    <w:rsid w:val="005A3E8C"/>
    <w:rsid w:val="005A4380"/>
    <w:rsid w:val="005A466C"/>
    <w:rsid w:val="005A479C"/>
    <w:rsid w:val="005A4B02"/>
    <w:rsid w:val="005A5134"/>
    <w:rsid w:val="005A56A8"/>
    <w:rsid w:val="005A5730"/>
    <w:rsid w:val="005A587A"/>
    <w:rsid w:val="005A5AC7"/>
    <w:rsid w:val="005A5F2D"/>
    <w:rsid w:val="005A61E9"/>
    <w:rsid w:val="005A6757"/>
    <w:rsid w:val="005A6B69"/>
    <w:rsid w:val="005A6B9C"/>
    <w:rsid w:val="005A6EC5"/>
    <w:rsid w:val="005A71BC"/>
    <w:rsid w:val="005A74B7"/>
    <w:rsid w:val="005A7AF5"/>
    <w:rsid w:val="005A7B19"/>
    <w:rsid w:val="005A7E47"/>
    <w:rsid w:val="005A7FE8"/>
    <w:rsid w:val="005B014B"/>
    <w:rsid w:val="005B091A"/>
    <w:rsid w:val="005B0D53"/>
    <w:rsid w:val="005B136D"/>
    <w:rsid w:val="005B1620"/>
    <w:rsid w:val="005B1DD9"/>
    <w:rsid w:val="005B2638"/>
    <w:rsid w:val="005B2A66"/>
    <w:rsid w:val="005B2BCA"/>
    <w:rsid w:val="005B2C9B"/>
    <w:rsid w:val="005B2CE2"/>
    <w:rsid w:val="005B340E"/>
    <w:rsid w:val="005B3627"/>
    <w:rsid w:val="005B3AD9"/>
    <w:rsid w:val="005B42EC"/>
    <w:rsid w:val="005B4786"/>
    <w:rsid w:val="005B483E"/>
    <w:rsid w:val="005B486C"/>
    <w:rsid w:val="005B4996"/>
    <w:rsid w:val="005B50FA"/>
    <w:rsid w:val="005B528A"/>
    <w:rsid w:val="005B556D"/>
    <w:rsid w:val="005B5573"/>
    <w:rsid w:val="005B55BA"/>
    <w:rsid w:val="005B56E8"/>
    <w:rsid w:val="005B6060"/>
    <w:rsid w:val="005B6231"/>
    <w:rsid w:val="005B6852"/>
    <w:rsid w:val="005B6AB9"/>
    <w:rsid w:val="005B6CF0"/>
    <w:rsid w:val="005B71E7"/>
    <w:rsid w:val="005B74B9"/>
    <w:rsid w:val="005B77EF"/>
    <w:rsid w:val="005B794E"/>
    <w:rsid w:val="005C015E"/>
    <w:rsid w:val="005C0274"/>
    <w:rsid w:val="005C0617"/>
    <w:rsid w:val="005C0AD6"/>
    <w:rsid w:val="005C0EB9"/>
    <w:rsid w:val="005C13EE"/>
    <w:rsid w:val="005C14A2"/>
    <w:rsid w:val="005C16E8"/>
    <w:rsid w:val="005C192D"/>
    <w:rsid w:val="005C19C7"/>
    <w:rsid w:val="005C2123"/>
    <w:rsid w:val="005C2350"/>
    <w:rsid w:val="005C23C2"/>
    <w:rsid w:val="005C2CB2"/>
    <w:rsid w:val="005C3028"/>
    <w:rsid w:val="005C33BD"/>
    <w:rsid w:val="005C37FD"/>
    <w:rsid w:val="005C41F5"/>
    <w:rsid w:val="005C49C4"/>
    <w:rsid w:val="005C4AF3"/>
    <w:rsid w:val="005C4C36"/>
    <w:rsid w:val="005C5708"/>
    <w:rsid w:val="005C5B2A"/>
    <w:rsid w:val="005C5D37"/>
    <w:rsid w:val="005C5F33"/>
    <w:rsid w:val="005C61B1"/>
    <w:rsid w:val="005C6683"/>
    <w:rsid w:val="005C7092"/>
    <w:rsid w:val="005C713A"/>
    <w:rsid w:val="005D00AA"/>
    <w:rsid w:val="005D11E5"/>
    <w:rsid w:val="005D1689"/>
    <w:rsid w:val="005D16B7"/>
    <w:rsid w:val="005D1CD3"/>
    <w:rsid w:val="005D249E"/>
    <w:rsid w:val="005D266B"/>
    <w:rsid w:val="005D2F2D"/>
    <w:rsid w:val="005D3053"/>
    <w:rsid w:val="005D3314"/>
    <w:rsid w:val="005D332C"/>
    <w:rsid w:val="005D34E4"/>
    <w:rsid w:val="005D3893"/>
    <w:rsid w:val="005D3EA3"/>
    <w:rsid w:val="005D4016"/>
    <w:rsid w:val="005D40C8"/>
    <w:rsid w:val="005D4761"/>
    <w:rsid w:val="005D4867"/>
    <w:rsid w:val="005D4B36"/>
    <w:rsid w:val="005D4EA8"/>
    <w:rsid w:val="005D50D7"/>
    <w:rsid w:val="005D51B9"/>
    <w:rsid w:val="005D54AB"/>
    <w:rsid w:val="005D58ED"/>
    <w:rsid w:val="005D629B"/>
    <w:rsid w:val="005D636C"/>
    <w:rsid w:val="005D63B0"/>
    <w:rsid w:val="005D6531"/>
    <w:rsid w:val="005D6541"/>
    <w:rsid w:val="005D67EE"/>
    <w:rsid w:val="005D681C"/>
    <w:rsid w:val="005D694D"/>
    <w:rsid w:val="005D69EA"/>
    <w:rsid w:val="005D6E0B"/>
    <w:rsid w:val="005D7194"/>
    <w:rsid w:val="005D7437"/>
    <w:rsid w:val="005D74BC"/>
    <w:rsid w:val="005D79B6"/>
    <w:rsid w:val="005D7A15"/>
    <w:rsid w:val="005E0684"/>
    <w:rsid w:val="005E06F9"/>
    <w:rsid w:val="005E09B2"/>
    <w:rsid w:val="005E0BA1"/>
    <w:rsid w:val="005E0BB5"/>
    <w:rsid w:val="005E0F4D"/>
    <w:rsid w:val="005E10D3"/>
    <w:rsid w:val="005E118C"/>
    <w:rsid w:val="005E17D0"/>
    <w:rsid w:val="005E19A9"/>
    <w:rsid w:val="005E1BDD"/>
    <w:rsid w:val="005E210A"/>
    <w:rsid w:val="005E237E"/>
    <w:rsid w:val="005E2C8F"/>
    <w:rsid w:val="005E317E"/>
    <w:rsid w:val="005E3487"/>
    <w:rsid w:val="005E3741"/>
    <w:rsid w:val="005E37CE"/>
    <w:rsid w:val="005E3C49"/>
    <w:rsid w:val="005E428E"/>
    <w:rsid w:val="005E4C0F"/>
    <w:rsid w:val="005E51DD"/>
    <w:rsid w:val="005E5E97"/>
    <w:rsid w:val="005E5F6D"/>
    <w:rsid w:val="005E6271"/>
    <w:rsid w:val="005E66DC"/>
    <w:rsid w:val="005E674A"/>
    <w:rsid w:val="005E6799"/>
    <w:rsid w:val="005E6A6C"/>
    <w:rsid w:val="005E6B27"/>
    <w:rsid w:val="005E6DA1"/>
    <w:rsid w:val="005E79B9"/>
    <w:rsid w:val="005F005E"/>
    <w:rsid w:val="005F032E"/>
    <w:rsid w:val="005F0482"/>
    <w:rsid w:val="005F054F"/>
    <w:rsid w:val="005F09C7"/>
    <w:rsid w:val="005F0E60"/>
    <w:rsid w:val="005F1252"/>
    <w:rsid w:val="005F18C7"/>
    <w:rsid w:val="005F1F13"/>
    <w:rsid w:val="005F22C6"/>
    <w:rsid w:val="005F2AA9"/>
    <w:rsid w:val="005F31D9"/>
    <w:rsid w:val="005F3B45"/>
    <w:rsid w:val="005F3BED"/>
    <w:rsid w:val="005F3D82"/>
    <w:rsid w:val="005F3E5C"/>
    <w:rsid w:val="005F42EE"/>
    <w:rsid w:val="005F4308"/>
    <w:rsid w:val="005F4554"/>
    <w:rsid w:val="005F4B99"/>
    <w:rsid w:val="005F4D9C"/>
    <w:rsid w:val="005F50BE"/>
    <w:rsid w:val="005F51C6"/>
    <w:rsid w:val="005F5330"/>
    <w:rsid w:val="005F55FE"/>
    <w:rsid w:val="005F6113"/>
    <w:rsid w:val="005F6266"/>
    <w:rsid w:val="005F62B5"/>
    <w:rsid w:val="005F62B6"/>
    <w:rsid w:val="005F64ED"/>
    <w:rsid w:val="005F6651"/>
    <w:rsid w:val="005F6BAF"/>
    <w:rsid w:val="005F6D2E"/>
    <w:rsid w:val="005F6EEC"/>
    <w:rsid w:val="005F6F91"/>
    <w:rsid w:val="005F7119"/>
    <w:rsid w:val="005F716E"/>
    <w:rsid w:val="006002A1"/>
    <w:rsid w:val="006007A2"/>
    <w:rsid w:val="00600895"/>
    <w:rsid w:val="006008E6"/>
    <w:rsid w:val="00600990"/>
    <w:rsid w:val="00600AAF"/>
    <w:rsid w:val="006013C5"/>
    <w:rsid w:val="00601946"/>
    <w:rsid w:val="00601BD0"/>
    <w:rsid w:val="00601CE1"/>
    <w:rsid w:val="00601F50"/>
    <w:rsid w:val="006024EF"/>
    <w:rsid w:val="0060258A"/>
    <w:rsid w:val="00602603"/>
    <w:rsid w:val="00602AAB"/>
    <w:rsid w:val="00602CD5"/>
    <w:rsid w:val="00602F62"/>
    <w:rsid w:val="0060312B"/>
    <w:rsid w:val="00603604"/>
    <w:rsid w:val="006037C9"/>
    <w:rsid w:val="00603896"/>
    <w:rsid w:val="00603CD7"/>
    <w:rsid w:val="006041AF"/>
    <w:rsid w:val="00604296"/>
    <w:rsid w:val="006044C2"/>
    <w:rsid w:val="006047DB"/>
    <w:rsid w:val="006047FA"/>
    <w:rsid w:val="00604BBD"/>
    <w:rsid w:val="00604EB4"/>
    <w:rsid w:val="00605309"/>
    <w:rsid w:val="0060565E"/>
    <w:rsid w:val="00605A2D"/>
    <w:rsid w:val="00605D21"/>
    <w:rsid w:val="00605F82"/>
    <w:rsid w:val="00605FAD"/>
    <w:rsid w:val="00606591"/>
    <w:rsid w:val="00607BB4"/>
    <w:rsid w:val="00607DBC"/>
    <w:rsid w:val="00610AB4"/>
    <w:rsid w:val="00610C10"/>
    <w:rsid w:val="006113EE"/>
    <w:rsid w:val="00611C01"/>
    <w:rsid w:val="00611E85"/>
    <w:rsid w:val="006122A3"/>
    <w:rsid w:val="00612318"/>
    <w:rsid w:val="0061264E"/>
    <w:rsid w:val="00612747"/>
    <w:rsid w:val="00612C2F"/>
    <w:rsid w:val="00613165"/>
    <w:rsid w:val="006131A5"/>
    <w:rsid w:val="006137F0"/>
    <w:rsid w:val="006139CA"/>
    <w:rsid w:val="00613BAB"/>
    <w:rsid w:val="00613F06"/>
    <w:rsid w:val="00614240"/>
    <w:rsid w:val="006143C3"/>
    <w:rsid w:val="006145BD"/>
    <w:rsid w:val="006147EA"/>
    <w:rsid w:val="0061497A"/>
    <w:rsid w:val="006149F6"/>
    <w:rsid w:val="00614C1F"/>
    <w:rsid w:val="00615992"/>
    <w:rsid w:val="0061634B"/>
    <w:rsid w:val="00616480"/>
    <w:rsid w:val="00616728"/>
    <w:rsid w:val="00616784"/>
    <w:rsid w:val="00616C65"/>
    <w:rsid w:val="00616CEE"/>
    <w:rsid w:val="00616F0B"/>
    <w:rsid w:val="00617444"/>
    <w:rsid w:val="00617A1C"/>
    <w:rsid w:val="00617A76"/>
    <w:rsid w:val="00617FC9"/>
    <w:rsid w:val="006200DA"/>
    <w:rsid w:val="0062043B"/>
    <w:rsid w:val="006204FB"/>
    <w:rsid w:val="006204FC"/>
    <w:rsid w:val="00620FA9"/>
    <w:rsid w:val="00621768"/>
    <w:rsid w:val="0062183C"/>
    <w:rsid w:val="006218FB"/>
    <w:rsid w:val="00621B46"/>
    <w:rsid w:val="00621B64"/>
    <w:rsid w:val="00621BF6"/>
    <w:rsid w:val="00621D61"/>
    <w:rsid w:val="00621D8F"/>
    <w:rsid w:val="006221C8"/>
    <w:rsid w:val="00622370"/>
    <w:rsid w:val="006223B8"/>
    <w:rsid w:val="00622404"/>
    <w:rsid w:val="0062243F"/>
    <w:rsid w:val="00622842"/>
    <w:rsid w:val="00622A1B"/>
    <w:rsid w:val="00622A45"/>
    <w:rsid w:val="0062327B"/>
    <w:rsid w:val="00623408"/>
    <w:rsid w:val="006237D0"/>
    <w:rsid w:val="00623BC6"/>
    <w:rsid w:val="0062409E"/>
    <w:rsid w:val="006240E2"/>
    <w:rsid w:val="00624613"/>
    <w:rsid w:val="006246A8"/>
    <w:rsid w:val="00624919"/>
    <w:rsid w:val="006250B4"/>
    <w:rsid w:val="00625447"/>
    <w:rsid w:val="00626071"/>
    <w:rsid w:val="00626657"/>
    <w:rsid w:val="00626962"/>
    <w:rsid w:val="00626E72"/>
    <w:rsid w:val="006270EB"/>
    <w:rsid w:val="0062720A"/>
    <w:rsid w:val="006272F4"/>
    <w:rsid w:val="0062733A"/>
    <w:rsid w:val="00627455"/>
    <w:rsid w:val="006274E7"/>
    <w:rsid w:val="0063003D"/>
    <w:rsid w:val="006301B9"/>
    <w:rsid w:val="00630646"/>
    <w:rsid w:val="0063095B"/>
    <w:rsid w:val="00630AE4"/>
    <w:rsid w:val="00630B24"/>
    <w:rsid w:val="00630C38"/>
    <w:rsid w:val="00630D78"/>
    <w:rsid w:val="006318C2"/>
    <w:rsid w:val="00631DDB"/>
    <w:rsid w:val="00631F51"/>
    <w:rsid w:val="00632172"/>
    <w:rsid w:val="006322F1"/>
    <w:rsid w:val="00632A2B"/>
    <w:rsid w:val="0063302B"/>
    <w:rsid w:val="00633122"/>
    <w:rsid w:val="00633160"/>
    <w:rsid w:val="00633412"/>
    <w:rsid w:val="006336A4"/>
    <w:rsid w:val="00633867"/>
    <w:rsid w:val="006338A0"/>
    <w:rsid w:val="00633B46"/>
    <w:rsid w:val="00633B69"/>
    <w:rsid w:val="00634220"/>
    <w:rsid w:val="00634357"/>
    <w:rsid w:val="006343E9"/>
    <w:rsid w:val="00634403"/>
    <w:rsid w:val="0063493B"/>
    <w:rsid w:val="0063497F"/>
    <w:rsid w:val="00634FDC"/>
    <w:rsid w:val="00635172"/>
    <w:rsid w:val="006351BC"/>
    <w:rsid w:val="00635234"/>
    <w:rsid w:val="00635649"/>
    <w:rsid w:val="0063571C"/>
    <w:rsid w:val="00635DCE"/>
    <w:rsid w:val="00635E02"/>
    <w:rsid w:val="006363C1"/>
    <w:rsid w:val="00636444"/>
    <w:rsid w:val="006365C7"/>
    <w:rsid w:val="00636970"/>
    <w:rsid w:val="00636A90"/>
    <w:rsid w:val="00636D56"/>
    <w:rsid w:val="00637089"/>
    <w:rsid w:val="00637D5F"/>
    <w:rsid w:val="00637E53"/>
    <w:rsid w:val="00640389"/>
    <w:rsid w:val="006403B2"/>
    <w:rsid w:val="00640878"/>
    <w:rsid w:val="00640FC6"/>
    <w:rsid w:val="00641252"/>
    <w:rsid w:val="006416F4"/>
    <w:rsid w:val="006417F2"/>
    <w:rsid w:val="0064199F"/>
    <w:rsid w:val="00641D57"/>
    <w:rsid w:val="00641FC2"/>
    <w:rsid w:val="00642A4B"/>
    <w:rsid w:val="00642DCC"/>
    <w:rsid w:val="00643005"/>
    <w:rsid w:val="0064319E"/>
    <w:rsid w:val="006437C2"/>
    <w:rsid w:val="00644030"/>
    <w:rsid w:val="006442A9"/>
    <w:rsid w:val="00644510"/>
    <w:rsid w:val="00644E0E"/>
    <w:rsid w:val="00644F15"/>
    <w:rsid w:val="006454A1"/>
    <w:rsid w:val="00645706"/>
    <w:rsid w:val="00645DF9"/>
    <w:rsid w:val="00645E8A"/>
    <w:rsid w:val="00645F29"/>
    <w:rsid w:val="006462C2"/>
    <w:rsid w:val="00646845"/>
    <w:rsid w:val="006470A1"/>
    <w:rsid w:val="0064713A"/>
    <w:rsid w:val="006474C3"/>
    <w:rsid w:val="00647786"/>
    <w:rsid w:val="006477AB"/>
    <w:rsid w:val="00647AE2"/>
    <w:rsid w:val="00647C15"/>
    <w:rsid w:val="00647D73"/>
    <w:rsid w:val="006502F6"/>
    <w:rsid w:val="006507B8"/>
    <w:rsid w:val="006518C4"/>
    <w:rsid w:val="00651C76"/>
    <w:rsid w:val="00651F19"/>
    <w:rsid w:val="006520DC"/>
    <w:rsid w:val="006523B4"/>
    <w:rsid w:val="00652525"/>
    <w:rsid w:val="00653662"/>
    <w:rsid w:val="006537DD"/>
    <w:rsid w:val="0065388A"/>
    <w:rsid w:val="00653B3B"/>
    <w:rsid w:val="00653E3A"/>
    <w:rsid w:val="006543ED"/>
    <w:rsid w:val="00654411"/>
    <w:rsid w:val="0065461A"/>
    <w:rsid w:val="006548CC"/>
    <w:rsid w:val="006548CD"/>
    <w:rsid w:val="006551EF"/>
    <w:rsid w:val="0065576D"/>
    <w:rsid w:val="00656204"/>
    <w:rsid w:val="006562E8"/>
    <w:rsid w:val="00656580"/>
    <w:rsid w:val="00656723"/>
    <w:rsid w:val="00656AAC"/>
    <w:rsid w:val="00656EDC"/>
    <w:rsid w:val="0065704F"/>
    <w:rsid w:val="006603EE"/>
    <w:rsid w:val="00660ACA"/>
    <w:rsid w:val="00660FB1"/>
    <w:rsid w:val="0066100A"/>
    <w:rsid w:val="0066132C"/>
    <w:rsid w:val="00661580"/>
    <w:rsid w:val="0066171B"/>
    <w:rsid w:val="00662162"/>
    <w:rsid w:val="0066339A"/>
    <w:rsid w:val="0066357D"/>
    <w:rsid w:val="006639EF"/>
    <w:rsid w:val="00663D17"/>
    <w:rsid w:val="00663D97"/>
    <w:rsid w:val="00663E93"/>
    <w:rsid w:val="00663F67"/>
    <w:rsid w:val="00664728"/>
    <w:rsid w:val="006649B8"/>
    <w:rsid w:val="00664BCF"/>
    <w:rsid w:val="006653D1"/>
    <w:rsid w:val="0066603E"/>
    <w:rsid w:val="006663B7"/>
    <w:rsid w:val="00666522"/>
    <w:rsid w:val="00666531"/>
    <w:rsid w:val="0066676A"/>
    <w:rsid w:val="00666C8A"/>
    <w:rsid w:val="006673FC"/>
    <w:rsid w:val="0066762C"/>
    <w:rsid w:val="00667F63"/>
    <w:rsid w:val="006701A5"/>
    <w:rsid w:val="00670248"/>
    <w:rsid w:val="0067037D"/>
    <w:rsid w:val="00670586"/>
    <w:rsid w:val="00670A07"/>
    <w:rsid w:val="00670C6E"/>
    <w:rsid w:val="00670CDE"/>
    <w:rsid w:val="00670D0B"/>
    <w:rsid w:val="00670F17"/>
    <w:rsid w:val="00670F6A"/>
    <w:rsid w:val="00671062"/>
    <w:rsid w:val="0067130A"/>
    <w:rsid w:val="00671555"/>
    <w:rsid w:val="00671A5F"/>
    <w:rsid w:val="00671AB0"/>
    <w:rsid w:val="00671AC1"/>
    <w:rsid w:val="00671D45"/>
    <w:rsid w:val="0067235F"/>
    <w:rsid w:val="0067253A"/>
    <w:rsid w:val="006726F0"/>
    <w:rsid w:val="006727A8"/>
    <w:rsid w:val="00672813"/>
    <w:rsid w:val="00672B71"/>
    <w:rsid w:val="00672F30"/>
    <w:rsid w:val="006739C9"/>
    <w:rsid w:val="00673B07"/>
    <w:rsid w:val="00673D08"/>
    <w:rsid w:val="00673D7A"/>
    <w:rsid w:val="00673E34"/>
    <w:rsid w:val="00673F42"/>
    <w:rsid w:val="00673F78"/>
    <w:rsid w:val="00674669"/>
    <w:rsid w:val="00674D31"/>
    <w:rsid w:val="00675775"/>
    <w:rsid w:val="006758C8"/>
    <w:rsid w:val="00675FA7"/>
    <w:rsid w:val="00676184"/>
    <w:rsid w:val="00676348"/>
    <w:rsid w:val="00676894"/>
    <w:rsid w:val="006769BE"/>
    <w:rsid w:val="006770BB"/>
    <w:rsid w:val="00677AFD"/>
    <w:rsid w:val="0068026E"/>
    <w:rsid w:val="0068031B"/>
    <w:rsid w:val="006807B8"/>
    <w:rsid w:val="00680994"/>
    <w:rsid w:val="00680B1F"/>
    <w:rsid w:val="00680EA4"/>
    <w:rsid w:val="00681167"/>
    <w:rsid w:val="00681168"/>
    <w:rsid w:val="00681FFF"/>
    <w:rsid w:val="0068210E"/>
    <w:rsid w:val="0068246A"/>
    <w:rsid w:val="00682647"/>
    <w:rsid w:val="00682806"/>
    <w:rsid w:val="0068283D"/>
    <w:rsid w:val="00682FA9"/>
    <w:rsid w:val="00683137"/>
    <w:rsid w:val="00683446"/>
    <w:rsid w:val="0068345E"/>
    <w:rsid w:val="00683876"/>
    <w:rsid w:val="00683A37"/>
    <w:rsid w:val="00683A92"/>
    <w:rsid w:val="00683BB6"/>
    <w:rsid w:val="00683D42"/>
    <w:rsid w:val="00683F01"/>
    <w:rsid w:val="00683FF5"/>
    <w:rsid w:val="00684641"/>
    <w:rsid w:val="00684B43"/>
    <w:rsid w:val="00684E65"/>
    <w:rsid w:val="00685149"/>
    <w:rsid w:val="006853DD"/>
    <w:rsid w:val="00685493"/>
    <w:rsid w:val="00685936"/>
    <w:rsid w:val="00685D47"/>
    <w:rsid w:val="006862E6"/>
    <w:rsid w:val="00686548"/>
    <w:rsid w:val="006869F9"/>
    <w:rsid w:val="006874D3"/>
    <w:rsid w:val="00687742"/>
    <w:rsid w:val="006877FD"/>
    <w:rsid w:val="006878BE"/>
    <w:rsid w:val="00687933"/>
    <w:rsid w:val="00687B0E"/>
    <w:rsid w:val="00687B3C"/>
    <w:rsid w:val="00687B9C"/>
    <w:rsid w:val="00687C90"/>
    <w:rsid w:val="00687D32"/>
    <w:rsid w:val="0069020F"/>
    <w:rsid w:val="006902FB"/>
    <w:rsid w:val="006909A7"/>
    <w:rsid w:val="006909E5"/>
    <w:rsid w:val="00690A78"/>
    <w:rsid w:val="006910BE"/>
    <w:rsid w:val="0069142C"/>
    <w:rsid w:val="006914C1"/>
    <w:rsid w:val="0069169A"/>
    <w:rsid w:val="00691724"/>
    <w:rsid w:val="006917BE"/>
    <w:rsid w:val="00691EA2"/>
    <w:rsid w:val="00692908"/>
    <w:rsid w:val="0069293F"/>
    <w:rsid w:val="00693077"/>
    <w:rsid w:val="00693966"/>
    <w:rsid w:val="00693AB1"/>
    <w:rsid w:val="00693DB2"/>
    <w:rsid w:val="006942BD"/>
    <w:rsid w:val="00694534"/>
    <w:rsid w:val="006948F8"/>
    <w:rsid w:val="00694DAC"/>
    <w:rsid w:val="00695399"/>
    <w:rsid w:val="006953E7"/>
    <w:rsid w:val="00695459"/>
    <w:rsid w:val="00695C0F"/>
    <w:rsid w:val="00695C33"/>
    <w:rsid w:val="00695C6F"/>
    <w:rsid w:val="00695E79"/>
    <w:rsid w:val="00695F35"/>
    <w:rsid w:val="00695FA4"/>
    <w:rsid w:val="00696416"/>
    <w:rsid w:val="00696785"/>
    <w:rsid w:val="00696CA2"/>
    <w:rsid w:val="00697688"/>
    <w:rsid w:val="00697A30"/>
    <w:rsid w:val="00697DEE"/>
    <w:rsid w:val="006A0064"/>
    <w:rsid w:val="006A015C"/>
    <w:rsid w:val="006A01CB"/>
    <w:rsid w:val="006A039E"/>
    <w:rsid w:val="006A0B1A"/>
    <w:rsid w:val="006A0D39"/>
    <w:rsid w:val="006A115C"/>
    <w:rsid w:val="006A11F0"/>
    <w:rsid w:val="006A14A0"/>
    <w:rsid w:val="006A18B2"/>
    <w:rsid w:val="006A24D7"/>
    <w:rsid w:val="006A2AAD"/>
    <w:rsid w:val="006A2C8C"/>
    <w:rsid w:val="006A32C6"/>
    <w:rsid w:val="006A33CC"/>
    <w:rsid w:val="006A3E92"/>
    <w:rsid w:val="006A3EDC"/>
    <w:rsid w:val="006A43A5"/>
    <w:rsid w:val="006A47D9"/>
    <w:rsid w:val="006A4C8D"/>
    <w:rsid w:val="006A4F75"/>
    <w:rsid w:val="006A52B8"/>
    <w:rsid w:val="006A54BD"/>
    <w:rsid w:val="006A555D"/>
    <w:rsid w:val="006A571E"/>
    <w:rsid w:val="006A57AD"/>
    <w:rsid w:val="006A593E"/>
    <w:rsid w:val="006A5D67"/>
    <w:rsid w:val="006A5EDD"/>
    <w:rsid w:val="006A6878"/>
    <w:rsid w:val="006A71D5"/>
    <w:rsid w:val="006A7441"/>
    <w:rsid w:val="006A754D"/>
    <w:rsid w:val="006A7C4D"/>
    <w:rsid w:val="006B00CD"/>
    <w:rsid w:val="006B032F"/>
    <w:rsid w:val="006B09C9"/>
    <w:rsid w:val="006B0CAB"/>
    <w:rsid w:val="006B182B"/>
    <w:rsid w:val="006B2060"/>
    <w:rsid w:val="006B236C"/>
    <w:rsid w:val="006B28D0"/>
    <w:rsid w:val="006B2ADB"/>
    <w:rsid w:val="006B2BD7"/>
    <w:rsid w:val="006B32FB"/>
    <w:rsid w:val="006B3923"/>
    <w:rsid w:val="006B3D59"/>
    <w:rsid w:val="006B3ED0"/>
    <w:rsid w:val="006B46CA"/>
    <w:rsid w:val="006B486F"/>
    <w:rsid w:val="006B5013"/>
    <w:rsid w:val="006B53BF"/>
    <w:rsid w:val="006B56E7"/>
    <w:rsid w:val="006B5DB4"/>
    <w:rsid w:val="006B6299"/>
    <w:rsid w:val="006B6736"/>
    <w:rsid w:val="006B73F7"/>
    <w:rsid w:val="006B78AE"/>
    <w:rsid w:val="006B7F56"/>
    <w:rsid w:val="006C0234"/>
    <w:rsid w:val="006C0E87"/>
    <w:rsid w:val="006C11D5"/>
    <w:rsid w:val="006C12E7"/>
    <w:rsid w:val="006C1568"/>
    <w:rsid w:val="006C15F3"/>
    <w:rsid w:val="006C1769"/>
    <w:rsid w:val="006C19CF"/>
    <w:rsid w:val="006C1A32"/>
    <w:rsid w:val="006C1D7C"/>
    <w:rsid w:val="006C1F26"/>
    <w:rsid w:val="006C22B3"/>
    <w:rsid w:val="006C23A4"/>
    <w:rsid w:val="006C265A"/>
    <w:rsid w:val="006C27ED"/>
    <w:rsid w:val="006C2814"/>
    <w:rsid w:val="006C28B7"/>
    <w:rsid w:val="006C29CC"/>
    <w:rsid w:val="006C2C3B"/>
    <w:rsid w:val="006C304C"/>
    <w:rsid w:val="006C3614"/>
    <w:rsid w:val="006C3699"/>
    <w:rsid w:val="006C38DB"/>
    <w:rsid w:val="006C3A0A"/>
    <w:rsid w:val="006C41A3"/>
    <w:rsid w:val="006C45E1"/>
    <w:rsid w:val="006C462A"/>
    <w:rsid w:val="006C4732"/>
    <w:rsid w:val="006C4BCC"/>
    <w:rsid w:val="006C4D53"/>
    <w:rsid w:val="006C5045"/>
    <w:rsid w:val="006C5147"/>
    <w:rsid w:val="006C54E0"/>
    <w:rsid w:val="006C59B6"/>
    <w:rsid w:val="006C59C6"/>
    <w:rsid w:val="006C5AA2"/>
    <w:rsid w:val="006C5FD9"/>
    <w:rsid w:val="006C6061"/>
    <w:rsid w:val="006C6B3C"/>
    <w:rsid w:val="006C7668"/>
    <w:rsid w:val="006C76EF"/>
    <w:rsid w:val="006D081E"/>
    <w:rsid w:val="006D0A2E"/>
    <w:rsid w:val="006D118B"/>
    <w:rsid w:val="006D12E7"/>
    <w:rsid w:val="006D130F"/>
    <w:rsid w:val="006D1D94"/>
    <w:rsid w:val="006D1F85"/>
    <w:rsid w:val="006D20E9"/>
    <w:rsid w:val="006D2701"/>
    <w:rsid w:val="006D281D"/>
    <w:rsid w:val="006D2AFE"/>
    <w:rsid w:val="006D2B19"/>
    <w:rsid w:val="006D2EC1"/>
    <w:rsid w:val="006D3474"/>
    <w:rsid w:val="006D3BAA"/>
    <w:rsid w:val="006D3E91"/>
    <w:rsid w:val="006D4020"/>
    <w:rsid w:val="006D45E2"/>
    <w:rsid w:val="006D460D"/>
    <w:rsid w:val="006D4644"/>
    <w:rsid w:val="006D48CC"/>
    <w:rsid w:val="006D4B81"/>
    <w:rsid w:val="006D50AF"/>
    <w:rsid w:val="006D51A2"/>
    <w:rsid w:val="006D530B"/>
    <w:rsid w:val="006D5720"/>
    <w:rsid w:val="006D5A45"/>
    <w:rsid w:val="006D5C02"/>
    <w:rsid w:val="006D6097"/>
    <w:rsid w:val="006D6524"/>
    <w:rsid w:val="006D6796"/>
    <w:rsid w:val="006D6A1C"/>
    <w:rsid w:val="006D6A48"/>
    <w:rsid w:val="006D6AF2"/>
    <w:rsid w:val="006D6BFC"/>
    <w:rsid w:val="006D6DA3"/>
    <w:rsid w:val="006D6DD4"/>
    <w:rsid w:val="006D70C2"/>
    <w:rsid w:val="006D7860"/>
    <w:rsid w:val="006D79E2"/>
    <w:rsid w:val="006D7CED"/>
    <w:rsid w:val="006D7E41"/>
    <w:rsid w:val="006E024F"/>
    <w:rsid w:val="006E0535"/>
    <w:rsid w:val="006E0797"/>
    <w:rsid w:val="006E0E4A"/>
    <w:rsid w:val="006E0F86"/>
    <w:rsid w:val="006E15C1"/>
    <w:rsid w:val="006E164F"/>
    <w:rsid w:val="006E1E02"/>
    <w:rsid w:val="006E2458"/>
    <w:rsid w:val="006E2496"/>
    <w:rsid w:val="006E2595"/>
    <w:rsid w:val="006E3229"/>
    <w:rsid w:val="006E35EE"/>
    <w:rsid w:val="006E3747"/>
    <w:rsid w:val="006E3D89"/>
    <w:rsid w:val="006E4018"/>
    <w:rsid w:val="006E419C"/>
    <w:rsid w:val="006E46C5"/>
    <w:rsid w:val="006E48BA"/>
    <w:rsid w:val="006E4C1A"/>
    <w:rsid w:val="006E4CBE"/>
    <w:rsid w:val="006E4F66"/>
    <w:rsid w:val="006E500A"/>
    <w:rsid w:val="006E5C7D"/>
    <w:rsid w:val="006E5CF2"/>
    <w:rsid w:val="006E5EC8"/>
    <w:rsid w:val="006E6131"/>
    <w:rsid w:val="006E65E6"/>
    <w:rsid w:val="006E69C2"/>
    <w:rsid w:val="006E6C22"/>
    <w:rsid w:val="006E6D30"/>
    <w:rsid w:val="006E6DC5"/>
    <w:rsid w:val="006E71CC"/>
    <w:rsid w:val="006E7649"/>
    <w:rsid w:val="006E7694"/>
    <w:rsid w:val="006E7E1D"/>
    <w:rsid w:val="006F002C"/>
    <w:rsid w:val="006F0458"/>
    <w:rsid w:val="006F0A6F"/>
    <w:rsid w:val="006F12EB"/>
    <w:rsid w:val="006F1684"/>
    <w:rsid w:val="006F1A4B"/>
    <w:rsid w:val="006F1B48"/>
    <w:rsid w:val="006F1E97"/>
    <w:rsid w:val="006F230E"/>
    <w:rsid w:val="006F240E"/>
    <w:rsid w:val="006F24C4"/>
    <w:rsid w:val="006F2DAD"/>
    <w:rsid w:val="006F2FFC"/>
    <w:rsid w:val="006F35B9"/>
    <w:rsid w:val="006F3E87"/>
    <w:rsid w:val="006F409C"/>
    <w:rsid w:val="006F4B7C"/>
    <w:rsid w:val="006F4D27"/>
    <w:rsid w:val="006F5783"/>
    <w:rsid w:val="006F57E6"/>
    <w:rsid w:val="006F5D24"/>
    <w:rsid w:val="006F5E79"/>
    <w:rsid w:val="006F6240"/>
    <w:rsid w:val="006F69A6"/>
    <w:rsid w:val="006F6AE1"/>
    <w:rsid w:val="006F6D6C"/>
    <w:rsid w:val="006F76A8"/>
    <w:rsid w:val="006F7700"/>
    <w:rsid w:val="006F79C3"/>
    <w:rsid w:val="00700283"/>
    <w:rsid w:val="00700323"/>
    <w:rsid w:val="00700685"/>
    <w:rsid w:val="0070070C"/>
    <w:rsid w:val="00700716"/>
    <w:rsid w:val="00700E26"/>
    <w:rsid w:val="00701128"/>
    <w:rsid w:val="007011EC"/>
    <w:rsid w:val="00701300"/>
    <w:rsid w:val="00701F51"/>
    <w:rsid w:val="00702527"/>
    <w:rsid w:val="007025AF"/>
    <w:rsid w:val="007028AC"/>
    <w:rsid w:val="007033A7"/>
    <w:rsid w:val="00703520"/>
    <w:rsid w:val="0070376E"/>
    <w:rsid w:val="007040A9"/>
    <w:rsid w:val="0070439D"/>
    <w:rsid w:val="007045E3"/>
    <w:rsid w:val="00704B5A"/>
    <w:rsid w:val="00704C4E"/>
    <w:rsid w:val="00704C64"/>
    <w:rsid w:val="00704E2D"/>
    <w:rsid w:val="0070532A"/>
    <w:rsid w:val="007053E5"/>
    <w:rsid w:val="007065DF"/>
    <w:rsid w:val="00706CE2"/>
    <w:rsid w:val="00706FE8"/>
    <w:rsid w:val="00707496"/>
    <w:rsid w:val="00707611"/>
    <w:rsid w:val="00707708"/>
    <w:rsid w:val="0070780B"/>
    <w:rsid w:val="007078F7"/>
    <w:rsid w:val="007100A9"/>
    <w:rsid w:val="0071030A"/>
    <w:rsid w:val="0071060F"/>
    <w:rsid w:val="00710772"/>
    <w:rsid w:val="0071077E"/>
    <w:rsid w:val="00710A28"/>
    <w:rsid w:val="00710E57"/>
    <w:rsid w:val="007112C5"/>
    <w:rsid w:val="007114EA"/>
    <w:rsid w:val="007118C0"/>
    <w:rsid w:val="00711BD6"/>
    <w:rsid w:val="00711CFF"/>
    <w:rsid w:val="00711D72"/>
    <w:rsid w:val="00711DDD"/>
    <w:rsid w:val="00711EFA"/>
    <w:rsid w:val="00711F98"/>
    <w:rsid w:val="007123DC"/>
    <w:rsid w:val="00712603"/>
    <w:rsid w:val="0071265D"/>
    <w:rsid w:val="0071285F"/>
    <w:rsid w:val="00712948"/>
    <w:rsid w:val="00712A8B"/>
    <w:rsid w:val="00713699"/>
    <w:rsid w:val="0071392A"/>
    <w:rsid w:val="00714187"/>
    <w:rsid w:val="0071422F"/>
    <w:rsid w:val="007147BA"/>
    <w:rsid w:val="00714ACB"/>
    <w:rsid w:val="00714B4D"/>
    <w:rsid w:val="00714C00"/>
    <w:rsid w:val="007154AD"/>
    <w:rsid w:val="00715595"/>
    <w:rsid w:val="0071567B"/>
    <w:rsid w:val="00715C03"/>
    <w:rsid w:val="007165B5"/>
    <w:rsid w:val="0071680F"/>
    <w:rsid w:val="0071685F"/>
    <w:rsid w:val="00716A09"/>
    <w:rsid w:val="00716B0C"/>
    <w:rsid w:val="00716DE0"/>
    <w:rsid w:val="00716DE5"/>
    <w:rsid w:val="00716DFB"/>
    <w:rsid w:val="00716FE1"/>
    <w:rsid w:val="0071757B"/>
    <w:rsid w:val="00717792"/>
    <w:rsid w:val="00717D10"/>
    <w:rsid w:val="0072037D"/>
    <w:rsid w:val="00720820"/>
    <w:rsid w:val="00720B8E"/>
    <w:rsid w:val="00720D14"/>
    <w:rsid w:val="0072108C"/>
    <w:rsid w:val="00721125"/>
    <w:rsid w:val="0072143E"/>
    <w:rsid w:val="007215EE"/>
    <w:rsid w:val="00721A30"/>
    <w:rsid w:val="0072205B"/>
    <w:rsid w:val="0072206C"/>
    <w:rsid w:val="0072224B"/>
    <w:rsid w:val="007222D6"/>
    <w:rsid w:val="00722356"/>
    <w:rsid w:val="007224E8"/>
    <w:rsid w:val="007231C1"/>
    <w:rsid w:val="0072335A"/>
    <w:rsid w:val="0072394D"/>
    <w:rsid w:val="0072399E"/>
    <w:rsid w:val="00723CCF"/>
    <w:rsid w:val="00723EA7"/>
    <w:rsid w:val="0072413B"/>
    <w:rsid w:val="0072512A"/>
    <w:rsid w:val="007257B4"/>
    <w:rsid w:val="007259DC"/>
    <w:rsid w:val="00726454"/>
    <w:rsid w:val="00726A9B"/>
    <w:rsid w:val="007272D2"/>
    <w:rsid w:val="00727DB1"/>
    <w:rsid w:val="00727EAA"/>
    <w:rsid w:val="0073003B"/>
    <w:rsid w:val="0073055B"/>
    <w:rsid w:val="00730DED"/>
    <w:rsid w:val="00730E41"/>
    <w:rsid w:val="00731BC3"/>
    <w:rsid w:val="007321B2"/>
    <w:rsid w:val="00732213"/>
    <w:rsid w:val="00732362"/>
    <w:rsid w:val="007327E9"/>
    <w:rsid w:val="00732EF5"/>
    <w:rsid w:val="00732FD5"/>
    <w:rsid w:val="00733136"/>
    <w:rsid w:val="0073367A"/>
    <w:rsid w:val="007337D6"/>
    <w:rsid w:val="00733AC0"/>
    <w:rsid w:val="00733EAE"/>
    <w:rsid w:val="00733F4F"/>
    <w:rsid w:val="00734195"/>
    <w:rsid w:val="007341C3"/>
    <w:rsid w:val="0073461B"/>
    <w:rsid w:val="00734F7C"/>
    <w:rsid w:val="00735073"/>
    <w:rsid w:val="00735124"/>
    <w:rsid w:val="0073587C"/>
    <w:rsid w:val="00735AA2"/>
    <w:rsid w:val="00735F3A"/>
    <w:rsid w:val="00735F8B"/>
    <w:rsid w:val="007368A6"/>
    <w:rsid w:val="00736B7F"/>
    <w:rsid w:val="00736CC6"/>
    <w:rsid w:val="00736EF4"/>
    <w:rsid w:val="00736F96"/>
    <w:rsid w:val="0073759C"/>
    <w:rsid w:val="00737877"/>
    <w:rsid w:val="00737D03"/>
    <w:rsid w:val="00737E20"/>
    <w:rsid w:val="00737F6F"/>
    <w:rsid w:val="00737F8A"/>
    <w:rsid w:val="0074004F"/>
    <w:rsid w:val="007403F8"/>
    <w:rsid w:val="007404E0"/>
    <w:rsid w:val="007404F6"/>
    <w:rsid w:val="007406FA"/>
    <w:rsid w:val="007408BD"/>
    <w:rsid w:val="007408E5"/>
    <w:rsid w:val="00740B66"/>
    <w:rsid w:val="00740DBD"/>
    <w:rsid w:val="00740E6F"/>
    <w:rsid w:val="00741636"/>
    <w:rsid w:val="00741C33"/>
    <w:rsid w:val="00741EAC"/>
    <w:rsid w:val="0074213C"/>
    <w:rsid w:val="0074221C"/>
    <w:rsid w:val="0074251B"/>
    <w:rsid w:val="00742550"/>
    <w:rsid w:val="00742662"/>
    <w:rsid w:val="00742CBB"/>
    <w:rsid w:val="00742FC9"/>
    <w:rsid w:val="0074361F"/>
    <w:rsid w:val="00743952"/>
    <w:rsid w:val="00743CBD"/>
    <w:rsid w:val="00743F4E"/>
    <w:rsid w:val="0074461F"/>
    <w:rsid w:val="007448C7"/>
    <w:rsid w:val="007448D2"/>
    <w:rsid w:val="00744ADC"/>
    <w:rsid w:val="00744E2C"/>
    <w:rsid w:val="007453DC"/>
    <w:rsid w:val="00745707"/>
    <w:rsid w:val="00745735"/>
    <w:rsid w:val="00745872"/>
    <w:rsid w:val="0074599A"/>
    <w:rsid w:val="00745AEB"/>
    <w:rsid w:val="00745C30"/>
    <w:rsid w:val="00745E99"/>
    <w:rsid w:val="007461B4"/>
    <w:rsid w:val="007463DB"/>
    <w:rsid w:val="007465CD"/>
    <w:rsid w:val="0074661B"/>
    <w:rsid w:val="00746682"/>
    <w:rsid w:val="00746A1C"/>
    <w:rsid w:val="0074754E"/>
    <w:rsid w:val="00747A2B"/>
    <w:rsid w:val="00747C5C"/>
    <w:rsid w:val="00747E12"/>
    <w:rsid w:val="00750140"/>
    <w:rsid w:val="00750E7F"/>
    <w:rsid w:val="00750E8B"/>
    <w:rsid w:val="00751156"/>
    <w:rsid w:val="00751ACA"/>
    <w:rsid w:val="00751C9D"/>
    <w:rsid w:val="00752257"/>
    <w:rsid w:val="00752349"/>
    <w:rsid w:val="007529F8"/>
    <w:rsid w:val="00752C11"/>
    <w:rsid w:val="00753B9F"/>
    <w:rsid w:val="00753CF7"/>
    <w:rsid w:val="00753D04"/>
    <w:rsid w:val="00753D97"/>
    <w:rsid w:val="0075404F"/>
    <w:rsid w:val="00754213"/>
    <w:rsid w:val="0075430B"/>
    <w:rsid w:val="00754325"/>
    <w:rsid w:val="0075439A"/>
    <w:rsid w:val="007543DC"/>
    <w:rsid w:val="0075443E"/>
    <w:rsid w:val="00754694"/>
    <w:rsid w:val="00754891"/>
    <w:rsid w:val="00754D7B"/>
    <w:rsid w:val="00754E36"/>
    <w:rsid w:val="00754F5C"/>
    <w:rsid w:val="0075567A"/>
    <w:rsid w:val="007558B2"/>
    <w:rsid w:val="007559A1"/>
    <w:rsid w:val="00755BAB"/>
    <w:rsid w:val="00755BF8"/>
    <w:rsid w:val="0075607A"/>
    <w:rsid w:val="0075607E"/>
    <w:rsid w:val="007564A2"/>
    <w:rsid w:val="0075665B"/>
    <w:rsid w:val="0075690B"/>
    <w:rsid w:val="0075691E"/>
    <w:rsid w:val="00756DF1"/>
    <w:rsid w:val="0075776F"/>
    <w:rsid w:val="00757885"/>
    <w:rsid w:val="007607D4"/>
    <w:rsid w:val="007607E7"/>
    <w:rsid w:val="00760B17"/>
    <w:rsid w:val="00760EF1"/>
    <w:rsid w:val="00761095"/>
    <w:rsid w:val="0076113B"/>
    <w:rsid w:val="0076140C"/>
    <w:rsid w:val="0076169A"/>
    <w:rsid w:val="00761FB4"/>
    <w:rsid w:val="007623B5"/>
    <w:rsid w:val="007628E3"/>
    <w:rsid w:val="00762D4A"/>
    <w:rsid w:val="00763725"/>
    <w:rsid w:val="0076387A"/>
    <w:rsid w:val="007638AB"/>
    <w:rsid w:val="00763C62"/>
    <w:rsid w:val="007642F6"/>
    <w:rsid w:val="00764444"/>
    <w:rsid w:val="00764631"/>
    <w:rsid w:val="007654AC"/>
    <w:rsid w:val="007654CC"/>
    <w:rsid w:val="007658A5"/>
    <w:rsid w:val="007659E3"/>
    <w:rsid w:val="007661A4"/>
    <w:rsid w:val="007661E6"/>
    <w:rsid w:val="007667CB"/>
    <w:rsid w:val="00766BFF"/>
    <w:rsid w:val="00766F26"/>
    <w:rsid w:val="00766F94"/>
    <w:rsid w:val="00767662"/>
    <w:rsid w:val="00767C27"/>
    <w:rsid w:val="00767F02"/>
    <w:rsid w:val="0077008C"/>
    <w:rsid w:val="007704C9"/>
    <w:rsid w:val="00770685"/>
    <w:rsid w:val="00770850"/>
    <w:rsid w:val="007709D8"/>
    <w:rsid w:val="007712E0"/>
    <w:rsid w:val="00771367"/>
    <w:rsid w:val="00771DE8"/>
    <w:rsid w:val="007720FE"/>
    <w:rsid w:val="007724B2"/>
    <w:rsid w:val="007725F0"/>
    <w:rsid w:val="00772B37"/>
    <w:rsid w:val="00772BD4"/>
    <w:rsid w:val="00773009"/>
    <w:rsid w:val="007736D8"/>
    <w:rsid w:val="00773839"/>
    <w:rsid w:val="00773A9A"/>
    <w:rsid w:val="00773D92"/>
    <w:rsid w:val="0077409F"/>
    <w:rsid w:val="00774991"/>
    <w:rsid w:val="00774BEB"/>
    <w:rsid w:val="00774C3C"/>
    <w:rsid w:val="007755E8"/>
    <w:rsid w:val="00775DEA"/>
    <w:rsid w:val="00776333"/>
    <w:rsid w:val="00776782"/>
    <w:rsid w:val="0077701D"/>
    <w:rsid w:val="0077737F"/>
    <w:rsid w:val="0077758F"/>
    <w:rsid w:val="00777839"/>
    <w:rsid w:val="007779DC"/>
    <w:rsid w:val="0078067C"/>
    <w:rsid w:val="0078073F"/>
    <w:rsid w:val="00781416"/>
    <w:rsid w:val="007817DD"/>
    <w:rsid w:val="00781815"/>
    <w:rsid w:val="00781836"/>
    <w:rsid w:val="00782A00"/>
    <w:rsid w:val="00783464"/>
    <w:rsid w:val="0078375E"/>
    <w:rsid w:val="00783C19"/>
    <w:rsid w:val="00783C4D"/>
    <w:rsid w:val="0078421B"/>
    <w:rsid w:val="007843FA"/>
    <w:rsid w:val="00784EC2"/>
    <w:rsid w:val="0078537F"/>
    <w:rsid w:val="00785500"/>
    <w:rsid w:val="00785F6A"/>
    <w:rsid w:val="00786603"/>
    <w:rsid w:val="00786649"/>
    <w:rsid w:val="0078666E"/>
    <w:rsid w:val="007866B9"/>
    <w:rsid w:val="0078679C"/>
    <w:rsid w:val="007867A6"/>
    <w:rsid w:val="00786C04"/>
    <w:rsid w:val="00786D50"/>
    <w:rsid w:val="00786D9E"/>
    <w:rsid w:val="0078748A"/>
    <w:rsid w:val="007874CF"/>
    <w:rsid w:val="00787969"/>
    <w:rsid w:val="00787C8B"/>
    <w:rsid w:val="00787EA6"/>
    <w:rsid w:val="007903BB"/>
    <w:rsid w:val="007904DF"/>
    <w:rsid w:val="00790584"/>
    <w:rsid w:val="0079069A"/>
    <w:rsid w:val="0079086B"/>
    <w:rsid w:val="00790B06"/>
    <w:rsid w:val="00790CDF"/>
    <w:rsid w:val="00790D12"/>
    <w:rsid w:val="00790ECF"/>
    <w:rsid w:val="00792805"/>
    <w:rsid w:val="00792C00"/>
    <w:rsid w:val="0079353D"/>
    <w:rsid w:val="007935AF"/>
    <w:rsid w:val="007937BE"/>
    <w:rsid w:val="00793B50"/>
    <w:rsid w:val="00793DE5"/>
    <w:rsid w:val="00794471"/>
    <w:rsid w:val="00794562"/>
    <w:rsid w:val="0079466D"/>
    <w:rsid w:val="0079491D"/>
    <w:rsid w:val="00794D37"/>
    <w:rsid w:val="00794E5D"/>
    <w:rsid w:val="00794FD2"/>
    <w:rsid w:val="00795045"/>
    <w:rsid w:val="0079526A"/>
    <w:rsid w:val="007952AF"/>
    <w:rsid w:val="007954E1"/>
    <w:rsid w:val="00795905"/>
    <w:rsid w:val="00795E19"/>
    <w:rsid w:val="007966F5"/>
    <w:rsid w:val="007968A8"/>
    <w:rsid w:val="007968AB"/>
    <w:rsid w:val="0079697E"/>
    <w:rsid w:val="00796BEE"/>
    <w:rsid w:val="00796DD0"/>
    <w:rsid w:val="00796EE5"/>
    <w:rsid w:val="00797116"/>
    <w:rsid w:val="0079735A"/>
    <w:rsid w:val="0079738A"/>
    <w:rsid w:val="00797482"/>
    <w:rsid w:val="00797AFC"/>
    <w:rsid w:val="007A038A"/>
    <w:rsid w:val="007A05CE"/>
    <w:rsid w:val="007A0F1B"/>
    <w:rsid w:val="007A121D"/>
    <w:rsid w:val="007A12D0"/>
    <w:rsid w:val="007A1EF2"/>
    <w:rsid w:val="007A1F18"/>
    <w:rsid w:val="007A20BB"/>
    <w:rsid w:val="007A2218"/>
    <w:rsid w:val="007A2274"/>
    <w:rsid w:val="007A265C"/>
    <w:rsid w:val="007A27EB"/>
    <w:rsid w:val="007A2885"/>
    <w:rsid w:val="007A2DC7"/>
    <w:rsid w:val="007A2E9B"/>
    <w:rsid w:val="007A2FBA"/>
    <w:rsid w:val="007A339F"/>
    <w:rsid w:val="007A3A3A"/>
    <w:rsid w:val="007A3E61"/>
    <w:rsid w:val="007A45CE"/>
    <w:rsid w:val="007A4698"/>
    <w:rsid w:val="007A4802"/>
    <w:rsid w:val="007A5A54"/>
    <w:rsid w:val="007A5E8E"/>
    <w:rsid w:val="007A5EE8"/>
    <w:rsid w:val="007A5F29"/>
    <w:rsid w:val="007A5F37"/>
    <w:rsid w:val="007A61D3"/>
    <w:rsid w:val="007A665E"/>
    <w:rsid w:val="007A671A"/>
    <w:rsid w:val="007A671E"/>
    <w:rsid w:val="007A69C3"/>
    <w:rsid w:val="007A6CA6"/>
    <w:rsid w:val="007A7353"/>
    <w:rsid w:val="007A73B4"/>
    <w:rsid w:val="007A7489"/>
    <w:rsid w:val="007A774D"/>
    <w:rsid w:val="007A7F69"/>
    <w:rsid w:val="007B0214"/>
    <w:rsid w:val="007B03F7"/>
    <w:rsid w:val="007B0666"/>
    <w:rsid w:val="007B0956"/>
    <w:rsid w:val="007B0D5A"/>
    <w:rsid w:val="007B0EBC"/>
    <w:rsid w:val="007B190F"/>
    <w:rsid w:val="007B1A84"/>
    <w:rsid w:val="007B1C8C"/>
    <w:rsid w:val="007B1FA0"/>
    <w:rsid w:val="007B2025"/>
    <w:rsid w:val="007B20A8"/>
    <w:rsid w:val="007B242A"/>
    <w:rsid w:val="007B24C1"/>
    <w:rsid w:val="007B26E6"/>
    <w:rsid w:val="007B2A7D"/>
    <w:rsid w:val="007B315B"/>
    <w:rsid w:val="007B39F3"/>
    <w:rsid w:val="007B3ACE"/>
    <w:rsid w:val="007B426D"/>
    <w:rsid w:val="007B4618"/>
    <w:rsid w:val="007B4E75"/>
    <w:rsid w:val="007B4F81"/>
    <w:rsid w:val="007B4FE7"/>
    <w:rsid w:val="007B5253"/>
    <w:rsid w:val="007B55E4"/>
    <w:rsid w:val="007B57A3"/>
    <w:rsid w:val="007B60AA"/>
    <w:rsid w:val="007B7026"/>
    <w:rsid w:val="007B70FF"/>
    <w:rsid w:val="007B7F2E"/>
    <w:rsid w:val="007C019A"/>
    <w:rsid w:val="007C0B31"/>
    <w:rsid w:val="007C0E92"/>
    <w:rsid w:val="007C1299"/>
    <w:rsid w:val="007C12F0"/>
    <w:rsid w:val="007C14B1"/>
    <w:rsid w:val="007C1689"/>
    <w:rsid w:val="007C18F4"/>
    <w:rsid w:val="007C1EEA"/>
    <w:rsid w:val="007C1FBA"/>
    <w:rsid w:val="007C22F2"/>
    <w:rsid w:val="007C2495"/>
    <w:rsid w:val="007C254B"/>
    <w:rsid w:val="007C2862"/>
    <w:rsid w:val="007C2945"/>
    <w:rsid w:val="007C2AAF"/>
    <w:rsid w:val="007C2C04"/>
    <w:rsid w:val="007C34EE"/>
    <w:rsid w:val="007C3526"/>
    <w:rsid w:val="007C3DC5"/>
    <w:rsid w:val="007C44FD"/>
    <w:rsid w:val="007C4623"/>
    <w:rsid w:val="007C4B91"/>
    <w:rsid w:val="007C4DFE"/>
    <w:rsid w:val="007C4FBE"/>
    <w:rsid w:val="007C506E"/>
    <w:rsid w:val="007C50B2"/>
    <w:rsid w:val="007C5308"/>
    <w:rsid w:val="007C5487"/>
    <w:rsid w:val="007C595F"/>
    <w:rsid w:val="007C5B2D"/>
    <w:rsid w:val="007C5D00"/>
    <w:rsid w:val="007C6455"/>
    <w:rsid w:val="007C6497"/>
    <w:rsid w:val="007C68AB"/>
    <w:rsid w:val="007C6C16"/>
    <w:rsid w:val="007C70DB"/>
    <w:rsid w:val="007C730C"/>
    <w:rsid w:val="007C7368"/>
    <w:rsid w:val="007C7792"/>
    <w:rsid w:val="007C7CDD"/>
    <w:rsid w:val="007D0632"/>
    <w:rsid w:val="007D08D3"/>
    <w:rsid w:val="007D0D39"/>
    <w:rsid w:val="007D171E"/>
    <w:rsid w:val="007D1922"/>
    <w:rsid w:val="007D203C"/>
    <w:rsid w:val="007D2113"/>
    <w:rsid w:val="007D25CF"/>
    <w:rsid w:val="007D2ABA"/>
    <w:rsid w:val="007D2E88"/>
    <w:rsid w:val="007D3368"/>
    <w:rsid w:val="007D3411"/>
    <w:rsid w:val="007D3CA1"/>
    <w:rsid w:val="007D3E2A"/>
    <w:rsid w:val="007D4AD6"/>
    <w:rsid w:val="007D4C36"/>
    <w:rsid w:val="007D4EC9"/>
    <w:rsid w:val="007D5169"/>
    <w:rsid w:val="007D542D"/>
    <w:rsid w:val="007D57B0"/>
    <w:rsid w:val="007D58D7"/>
    <w:rsid w:val="007D5B6F"/>
    <w:rsid w:val="007D5B77"/>
    <w:rsid w:val="007D62C8"/>
    <w:rsid w:val="007D66AE"/>
    <w:rsid w:val="007D6811"/>
    <w:rsid w:val="007D69AB"/>
    <w:rsid w:val="007D6AD3"/>
    <w:rsid w:val="007D72E6"/>
    <w:rsid w:val="007D7C1D"/>
    <w:rsid w:val="007E01F6"/>
    <w:rsid w:val="007E022E"/>
    <w:rsid w:val="007E0429"/>
    <w:rsid w:val="007E0888"/>
    <w:rsid w:val="007E0B54"/>
    <w:rsid w:val="007E10CC"/>
    <w:rsid w:val="007E1470"/>
    <w:rsid w:val="007E1CCD"/>
    <w:rsid w:val="007E1D72"/>
    <w:rsid w:val="007E27F6"/>
    <w:rsid w:val="007E2938"/>
    <w:rsid w:val="007E3EFD"/>
    <w:rsid w:val="007E3FAC"/>
    <w:rsid w:val="007E4307"/>
    <w:rsid w:val="007E444B"/>
    <w:rsid w:val="007E47D4"/>
    <w:rsid w:val="007E486D"/>
    <w:rsid w:val="007E5049"/>
    <w:rsid w:val="007E5065"/>
    <w:rsid w:val="007E5217"/>
    <w:rsid w:val="007E52F1"/>
    <w:rsid w:val="007E53F4"/>
    <w:rsid w:val="007E554C"/>
    <w:rsid w:val="007E5BE0"/>
    <w:rsid w:val="007E5DA2"/>
    <w:rsid w:val="007E5EF6"/>
    <w:rsid w:val="007E5FB8"/>
    <w:rsid w:val="007E646D"/>
    <w:rsid w:val="007E686A"/>
    <w:rsid w:val="007E6991"/>
    <w:rsid w:val="007E6BBF"/>
    <w:rsid w:val="007E6C9C"/>
    <w:rsid w:val="007E72E7"/>
    <w:rsid w:val="007E75A8"/>
    <w:rsid w:val="007E792E"/>
    <w:rsid w:val="007E7971"/>
    <w:rsid w:val="007E79F8"/>
    <w:rsid w:val="007E7E24"/>
    <w:rsid w:val="007F01D9"/>
    <w:rsid w:val="007F020E"/>
    <w:rsid w:val="007F02CB"/>
    <w:rsid w:val="007F03E8"/>
    <w:rsid w:val="007F0899"/>
    <w:rsid w:val="007F0D37"/>
    <w:rsid w:val="007F123B"/>
    <w:rsid w:val="007F164F"/>
    <w:rsid w:val="007F1704"/>
    <w:rsid w:val="007F1774"/>
    <w:rsid w:val="007F17E2"/>
    <w:rsid w:val="007F1832"/>
    <w:rsid w:val="007F1901"/>
    <w:rsid w:val="007F190F"/>
    <w:rsid w:val="007F1BB4"/>
    <w:rsid w:val="007F1CB0"/>
    <w:rsid w:val="007F1D6F"/>
    <w:rsid w:val="007F1FAF"/>
    <w:rsid w:val="007F210B"/>
    <w:rsid w:val="007F2305"/>
    <w:rsid w:val="007F2488"/>
    <w:rsid w:val="007F2C9E"/>
    <w:rsid w:val="007F2DA8"/>
    <w:rsid w:val="007F3777"/>
    <w:rsid w:val="007F3BB5"/>
    <w:rsid w:val="007F4148"/>
    <w:rsid w:val="007F448D"/>
    <w:rsid w:val="007F48BC"/>
    <w:rsid w:val="007F4A62"/>
    <w:rsid w:val="007F575D"/>
    <w:rsid w:val="007F59A2"/>
    <w:rsid w:val="007F5B50"/>
    <w:rsid w:val="007F5B94"/>
    <w:rsid w:val="007F5E19"/>
    <w:rsid w:val="007F6954"/>
    <w:rsid w:val="007F6F4A"/>
    <w:rsid w:val="007F721F"/>
    <w:rsid w:val="007F7778"/>
    <w:rsid w:val="007F7DA1"/>
    <w:rsid w:val="008005EE"/>
    <w:rsid w:val="00800646"/>
    <w:rsid w:val="00800968"/>
    <w:rsid w:val="0080105A"/>
    <w:rsid w:val="00801086"/>
    <w:rsid w:val="008016AF"/>
    <w:rsid w:val="0080189A"/>
    <w:rsid w:val="0080252F"/>
    <w:rsid w:val="008027D2"/>
    <w:rsid w:val="008039A2"/>
    <w:rsid w:val="00803C93"/>
    <w:rsid w:val="00803CD4"/>
    <w:rsid w:val="00803D67"/>
    <w:rsid w:val="00803F7B"/>
    <w:rsid w:val="00803FD3"/>
    <w:rsid w:val="00804150"/>
    <w:rsid w:val="0080415E"/>
    <w:rsid w:val="00804171"/>
    <w:rsid w:val="0080422B"/>
    <w:rsid w:val="00804654"/>
    <w:rsid w:val="00804854"/>
    <w:rsid w:val="00804AE0"/>
    <w:rsid w:val="00804D98"/>
    <w:rsid w:val="00805366"/>
    <w:rsid w:val="008053ED"/>
    <w:rsid w:val="00805E20"/>
    <w:rsid w:val="0080630E"/>
    <w:rsid w:val="008065FA"/>
    <w:rsid w:val="00806D3E"/>
    <w:rsid w:val="00807225"/>
    <w:rsid w:val="00807262"/>
    <w:rsid w:val="0080728F"/>
    <w:rsid w:val="008075A5"/>
    <w:rsid w:val="00807789"/>
    <w:rsid w:val="00807C33"/>
    <w:rsid w:val="008100C8"/>
    <w:rsid w:val="008104E0"/>
    <w:rsid w:val="00810989"/>
    <w:rsid w:val="008113D5"/>
    <w:rsid w:val="00811CB9"/>
    <w:rsid w:val="008122F4"/>
    <w:rsid w:val="008127F0"/>
    <w:rsid w:val="00813529"/>
    <w:rsid w:val="00813563"/>
    <w:rsid w:val="00813594"/>
    <w:rsid w:val="008137B8"/>
    <w:rsid w:val="00813C61"/>
    <w:rsid w:val="00813DFE"/>
    <w:rsid w:val="00814258"/>
    <w:rsid w:val="008148FD"/>
    <w:rsid w:val="00814C7C"/>
    <w:rsid w:val="00814FF8"/>
    <w:rsid w:val="0081512F"/>
    <w:rsid w:val="008151D8"/>
    <w:rsid w:val="008155C4"/>
    <w:rsid w:val="00815B18"/>
    <w:rsid w:val="00815D17"/>
    <w:rsid w:val="00816852"/>
    <w:rsid w:val="00816C0A"/>
    <w:rsid w:val="00816DDA"/>
    <w:rsid w:val="00816E84"/>
    <w:rsid w:val="008170CE"/>
    <w:rsid w:val="0081720A"/>
    <w:rsid w:val="0081760C"/>
    <w:rsid w:val="00817A3E"/>
    <w:rsid w:val="00817D12"/>
    <w:rsid w:val="0082003D"/>
    <w:rsid w:val="008200D5"/>
    <w:rsid w:val="008204DE"/>
    <w:rsid w:val="00820844"/>
    <w:rsid w:val="00820B6F"/>
    <w:rsid w:val="00820C43"/>
    <w:rsid w:val="00820F80"/>
    <w:rsid w:val="0082147F"/>
    <w:rsid w:val="008221F0"/>
    <w:rsid w:val="008224B5"/>
    <w:rsid w:val="0082254F"/>
    <w:rsid w:val="00822844"/>
    <w:rsid w:val="008228F7"/>
    <w:rsid w:val="00822FF8"/>
    <w:rsid w:val="0082425B"/>
    <w:rsid w:val="0082438D"/>
    <w:rsid w:val="00824447"/>
    <w:rsid w:val="0082445A"/>
    <w:rsid w:val="00825073"/>
    <w:rsid w:val="008253BB"/>
    <w:rsid w:val="008256F5"/>
    <w:rsid w:val="00825B81"/>
    <w:rsid w:val="00825D48"/>
    <w:rsid w:val="00826959"/>
    <w:rsid w:val="00826ABC"/>
    <w:rsid w:val="00826B07"/>
    <w:rsid w:val="00826D60"/>
    <w:rsid w:val="00826EF9"/>
    <w:rsid w:val="0082713C"/>
    <w:rsid w:val="008274BA"/>
    <w:rsid w:val="00827896"/>
    <w:rsid w:val="00827DEC"/>
    <w:rsid w:val="00830D59"/>
    <w:rsid w:val="00830F6E"/>
    <w:rsid w:val="00831811"/>
    <w:rsid w:val="008318AB"/>
    <w:rsid w:val="008318E1"/>
    <w:rsid w:val="00832177"/>
    <w:rsid w:val="00832371"/>
    <w:rsid w:val="00832485"/>
    <w:rsid w:val="008327AD"/>
    <w:rsid w:val="00832966"/>
    <w:rsid w:val="00832AEB"/>
    <w:rsid w:val="008330C0"/>
    <w:rsid w:val="00833847"/>
    <w:rsid w:val="008342FA"/>
    <w:rsid w:val="0083476E"/>
    <w:rsid w:val="0083496B"/>
    <w:rsid w:val="0083565A"/>
    <w:rsid w:val="00835C69"/>
    <w:rsid w:val="00836002"/>
    <w:rsid w:val="00836D7B"/>
    <w:rsid w:val="00837451"/>
    <w:rsid w:val="0083757D"/>
    <w:rsid w:val="008377C1"/>
    <w:rsid w:val="008377CB"/>
    <w:rsid w:val="008377D4"/>
    <w:rsid w:val="0084081B"/>
    <w:rsid w:val="00840AA5"/>
    <w:rsid w:val="00840DE1"/>
    <w:rsid w:val="00840E25"/>
    <w:rsid w:val="00840FC0"/>
    <w:rsid w:val="0084114A"/>
    <w:rsid w:val="008412CA"/>
    <w:rsid w:val="008413C0"/>
    <w:rsid w:val="0084170B"/>
    <w:rsid w:val="00841A04"/>
    <w:rsid w:val="00841CA6"/>
    <w:rsid w:val="008426CE"/>
    <w:rsid w:val="00842A90"/>
    <w:rsid w:val="00842DBB"/>
    <w:rsid w:val="0084303A"/>
    <w:rsid w:val="0084317C"/>
    <w:rsid w:val="00843AD6"/>
    <w:rsid w:val="00843DB7"/>
    <w:rsid w:val="00843F16"/>
    <w:rsid w:val="0084417F"/>
    <w:rsid w:val="00844324"/>
    <w:rsid w:val="008446AF"/>
    <w:rsid w:val="00844752"/>
    <w:rsid w:val="00845AB4"/>
    <w:rsid w:val="008464AB"/>
    <w:rsid w:val="008464B3"/>
    <w:rsid w:val="00846EB3"/>
    <w:rsid w:val="008474E8"/>
    <w:rsid w:val="00847606"/>
    <w:rsid w:val="0084764B"/>
    <w:rsid w:val="008477BA"/>
    <w:rsid w:val="00847FE6"/>
    <w:rsid w:val="008506BB"/>
    <w:rsid w:val="008506CB"/>
    <w:rsid w:val="00850708"/>
    <w:rsid w:val="0085073C"/>
    <w:rsid w:val="0085077B"/>
    <w:rsid w:val="0085149E"/>
    <w:rsid w:val="008516EF"/>
    <w:rsid w:val="008518A5"/>
    <w:rsid w:val="00851F7C"/>
    <w:rsid w:val="0085273B"/>
    <w:rsid w:val="0085278B"/>
    <w:rsid w:val="00852EB4"/>
    <w:rsid w:val="00853C9A"/>
    <w:rsid w:val="008544C1"/>
    <w:rsid w:val="008545A1"/>
    <w:rsid w:val="008545A3"/>
    <w:rsid w:val="00854CB9"/>
    <w:rsid w:val="00854CF9"/>
    <w:rsid w:val="00855026"/>
    <w:rsid w:val="008551A2"/>
    <w:rsid w:val="008555A4"/>
    <w:rsid w:val="00855755"/>
    <w:rsid w:val="008558F9"/>
    <w:rsid w:val="00855B67"/>
    <w:rsid w:val="00855DAA"/>
    <w:rsid w:val="0085607A"/>
    <w:rsid w:val="00856167"/>
    <w:rsid w:val="008568CC"/>
    <w:rsid w:val="008568F9"/>
    <w:rsid w:val="00856E28"/>
    <w:rsid w:val="008570DB"/>
    <w:rsid w:val="00857439"/>
    <w:rsid w:val="00857783"/>
    <w:rsid w:val="00860243"/>
    <w:rsid w:val="008606D3"/>
    <w:rsid w:val="00860A8D"/>
    <w:rsid w:val="00860AEE"/>
    <w:rsid w:val="00860BE7"/>
    <w:rsid w:val="00860E43"/>
    <w:rsid w:val="00860FFB"/>
    <w:rsid w:val="008614DB"/>
    <w:rsid w:val="008615DB"/>
    <w:rsid w:val="00861B02"/>
    <w:rsid w:val="00861BBA"/>
    <w:rsid w:val="00861E22"/>
    <w:rsid w:val="00862098"/>
    <w:rsid w:val="0086209F"/>
    <w:rsid w:val="00862598"/>
    <w:rsid w:val="0086272C"/>
    <w:rsid w:val="00862801"/>
    <w:rsid w:val="0086283E"/>
    <w:rsid w:val="008628E0"/>
    <w:rsid w:val="00862E55"/>
    <w:rsid w:val="00862E7E"/>
    <w:rsid w:val="00863272"/>
    <w:rsid w:val="00863710"/>
    <w:rsid w:val="008639EC"/>
    <w:rsid w:val="00863B28"/>
    <w:rsid w:val="00864280"/>
    <w:rsid w:val="00864519"/>
    <w:rsid w:val="008647F6"/>
    <w:rsid w:val="00864B12"/>
    <w:rsid w:val="00864E3C"/>
    <w:rsid w:val="00864FF5"/>
    <w:rsid w:val="008650A8"/>
    <w:rsid w:val="00865452"/>
    <w:rsid w:val="0086564E"/>
    <w:rsid w:val="008657B9"/>
    <w:rsid w:val="0086587F"/>
    <w:rsid w:val="00865932"/>
    <w:rsid w:val="00865ECE"/>
    <w:rsid w:val="008663B3"/>
    <w:rsid w:val="00866401"/>
    <w:rsid w:val="0086682A"/>
    <w:rsid w:val="008668BC"/>
    <w:rsid w:val="008669D9"/>
    <w:rsid w:val="00866BA7"/>
    <w:rsid w:val="00866BC4"/>
    <w:rsid w:val="00866CBE"/>
    <w:rsid w:val="00870127"/>
    <w:rsid w:val="0087025C"/>
    <w:rsid w:val="00870719"/>
    <w:rsid w:val="00870744"/>
    <w:rsid w:val="00870948"/>
    <w:rsid w:val="00870B83"/>
    <w:rsid w:val="00871B7F"/>
    <w:rsid w:val="00872385"/>
    <w:rsid w:val="0087299E"/>
    <w:rsid w:val="008729E4"/>
    <w:rsid w:val="00872A95"/>
    <w:rsid w:val="00873616"/>
    <w:rsid w:val="0087400B"/>
    <w:rsid w:val="008741DE"/>
    <w:rsid w:val="0087430F"/>
    <w:rsid w:val="00875978"/>
    <w:rsid w:val="00876FDE"/>
    <w:rsid w:val="00877203"/>
    <w:rsid w:val="0087729C"/>
    <w:rsid w:val="0087786B"/>
    <w:rsid w:val="00877B8C"/>
    <w:rsid w:val="00877F47"/>
    <w:rsid w:val="0088023B"/>
    <w:rsid w:val="00880D2E"/>
    <w:rsid w:val="0088102B"/>
    <w:rsid w:val="00881594"/>
    <w:rsid w:val="0088162A"/>
    <w:rsid w:val="00881E6B"/>
    <w:rsid w:val="008825C8"/>
    <w:rsid w:val="00882775"/>
    <w:rsid w:val="008827C0"/>
    <w:rsid w:val="00882C17"/>
    <w:rsid w:val="00882F85"/>
    <w:rsid w:val="00883922"/>
    <w:rsid w:val="008843DA"/>
    <w:rsid w:val="008845C6"/>
    <w:rsid w:val="008845EF"/>
    <w:rsid w:val="008849AD"/>
    <w:rsid w:val="008853F5"/>
    <w:rsid w:val="00885440"/>
    <w:rsid w:val="0088549E"/>
    <w:rsid w:val="008858BD"/>
    <w:rsid w:val="00885C2C"/>
    <w:rsid w:val="00885DE8"/>
    <w:rsid w:val="00885F58"/>
    <w:rsid w:val="00886177"/>
    <w:rsid w:val="0088626F"/>
    <w:rsid w:val="00886324"/>
    <w:rsid w:val="0088634C"/>
    <w:rsid w:val="00886CE0"/>
    <w:rsid w:val="00886DF0"/>
    <w:rsid w:val="008870AB"/>
    <w:rsid w:val="00887B66"/>
    <w:rsid w:val="00887EC4"/>
    <w:rsid w:val="00890263"/>
    <w:rsid w:val="008903E8"/>
    <w:rsid w:val="00890437"/>
    <w:rsid w:val="008905B0"/>
    <w:rsid w:val="008905F1"/>
    <w:rsid w:val="00890E6B"/>
    <w:rsid w:val="008919CA"/>
    <w:rsid w:val="00891A49"/>
    <w:rsid w:val="0089274C"/>
    <w:rsid w:val="00892793"/>
    <w:rsid w:val="008927B2"/>
    <w:rsid w:val="00892953"/>
    <w:rsid w:val="00892E68"/>
    <w:rsid w:val="008930CA"/>
    <w:rsid w:val="00893501"/>
    <w:rsid w:val="00893918"/>
    <w:rsid w:val="00893BA7"/>
    <w:rsid w:val="00893F54"/>
    <w:rsid w:val="0089424D"/>
    <w:rsid w:val="00894666"/>
    <w:rsid w:val="008947DB"/>
    <w:rsid w:val="00894AF8"/>
    <w:rsid w:val="00894F33"/>
    <w:rsid w:val="00895152"/>
    <w:rsid w:val="00895358"/>
    <w:rsid w:val="00895683"/>
    <w:rsid w:val="00895B4F"/>
    <w:rsid w:val="00895C9B"/>
    <w:rsid w:val="00895EAF"/>
    <w:rsid w:val="00895F22"/>
    <w:rsid w:val="0089676F"/>
    <w:rsid w:val="00896828"/>
    <w:rsid w:val="00896CCC"/>
    <w:rsid w:val="00896E30"/>
    <w:rsid w:val="00896E4B"/>
    <w:rsid w:val="00896ECA"/>
    <w:rsid w:val="008973D5"/>
    <w:rsid w:val="00897C5F"/>
    <w:rsid w:val="00897C67"/>
    <w:rsid w:val="00897D02"/>
    <w:rsid w:val="00897E4E"/>
    <w:rsid w:val="008A085A"/>
    <w:rsid w:val="008A09DE"/>
    <w:rsid w:val="008A0FA2"/>
    <w:rsid w:val="008A1372"/>
    <w:rsid w:val="008A147C"/>
    <w:rsid w:val="008A18CB"/>
    <w:rsid w:val="008A1B80"/>
    <w:rsid w:val="008A1F60"/>
    <w:rsid w:val="008A20F5"/>
    <w:rsid w:val="008A24E8"/>
    <w:rsid w:val="008A2675"/>
    <w:rsid w:val="008A2AC3"/>
    <w:rsid w:val="008A2F17"/>
    <w:rsid w:val="008A2FC3"/>
    <w:rsid w:val="008A43BA"/>
    <w:rsid w:val="008A43F5"/>
    <w:rsid w:val="008A4DBB"/>
    <w:rsid w:val="008A4EAB"/>
    <w:rsid w:val="008A5402"/>
    <w:rsid w:val="008A5447"/>
    <w:rsid w:val="008A5541"/>
    <w:rsid w:val="008A5858"/>
    <w:rsid w:val="008A58B4"/>
    <w:rsid w:val="008A5CF6"/>
    <w:rsid w:val="008A5D25"/>
    <w:rsid w:val="008A5DCE"/>
    <w:rsid w:val="008A6152"/>
    <w:rsid w:val="008A6324"/>
    <w:rsid w:val="008A6C2F"/>
    <w:rsid w:val="008A6CA8"/>
    <w:rsid w:val="008A72E8"/>
    <w:rsid w:val="008A7588"/>
    <w:rsid w:val="008B02D7"/>
    <w:rsid w:val="008B0354"/>
    <w:rsid w:val="008B09F6"/>
    <w:rsid w:val="008B0D9A"/>
    <w:rsid w:val="008B1329"/>
    <w:rsid w:val="008B1B72"/>
    <w:rsid w:val="008B1FBA"/>
    <w:rsid w:val="008B25FE"/>
    <w:rsid w:val="008B26AD"/>
    <w:rsid w:val="008B2754"/>
    <w:rsid w:val="008B2B73"/>
    <w:rsid w:val="008B2D9C"/>
    <w:rsid w:val="008B31AB"/>
    <w:rsid w:val="008B3D95"/>
    <w:rsid w:val="008B473C"/>
    <w:rsid w:val="008B484F"/>
    <w:rsid w:val="008B4AA7"/>
    <w:rsid w:val="008B4B3B"/>
    <w:rsid w:val="008B4DB4"/>
    <w:rsid w:val="008B52B6"/>
    <w:rsid w:val="008B5510"/>
    <w:rsid w:val="008B5518"/>
    <w:rsid w:val="008B57D4"/>
    <w:rsid w:val="008B5873"/>
    <w:rsid w:val="008B58C7"/>
    <w:rsid w:val="008B66C1"/>
    <w:rsid w:val="008B673A"/>
    <w:rsid w:val="008B6D56"/>
    <w:rsid w:val="008B6F1E"/>
    <w:rsid w:val="008B6F97"/>
    <w:rsid w:val="008B70F4"/>
    <w:rsid w:val="008B711D"/>
    <w:rsid w:val="008B743A"/>
    <w:rsid w:val="008B756B"/>
    <w:rsid w:val="008B78C1"/>
    <w:rsid w:val="008B7A3D"/>
    <w:rsid w:val="008B7B8D"/>
    <w:rsid w:val="008B7EE4"/>
    <w:rsid w:val="008C0839"/>
    <w:rsid w:val="008C0D52"/>
    <w:rsid w:val="008C0F8D"/>
    <w:rsid w:val="008C1343"/>
    <w:rsid w:val="008C1386"/>
    <w:rsid w:val="008C18B8"/>
    <w:rsid w:val="008C19F5"/>
    <w:rsid w:val="008C1C7E"/>
    <w:rsid w:val="008C1D10"/>
    <w:rsid w:val="008C1EBF"/>
    <w:rsid w:val="008C24AD"/>
    <w:rsid w:val="008C28B8"/>
    <w:rsid w:val="008C28F4"/>
    <w:rsid w:val="008C2B62"/>
    <w:rsid w:val="008C2F7E"/>
    <w:rsid w:val="008C327A"/>
    <w:rsid w:val="008C3488"/>
    <w:rsid w:val="008C34B3"/>
    <w:rsid w:val="008C350A"/>
    <w:rsid w:val="008C37E0"/>
    <w:rsid w:val="008C39A1"/>
    <w:rsid w:val="008C3C95"/>
    <w:rsid w:val="008C3EDF"/>
    <w:rsid w:val="008C3F1A"/>
    <w:rsid w:val="008C4536"/>
    <w:rsid w:val="008C45FA"/>
    <w:rsid w:val="008C47B5"/>
    <w:rsid w:val="008C4D89"/>
    <w:rsid w:val="008C50C8"/>
    <w:rsid w:val="008C5400"/>
    <w:rsid w:val="008C596F"/>
    <w:rsid w:val="008C5C98"/>
    <w:rsid w:val="008C5D45"/>
    <w:rsid w:val="008C6442"/>
    <w:rsid w:val="008C6623"/>
    <w:rsid w:val="008C795D"/>
    <w:rsid w:val="008C7F13"/>
    <w:rsid w:val="008D0167"/>
    <w:rsid w:val="008D02DC"/>
    <w:rsid w:val="008D03C8"/>
    <w:rsid w:val="008D0624"/>
    <w:rsid w:val="008D07FD"/>
    <w:rsid w:val="008D090D"/>
    <w:rsid w:val="008D090F"/>
    <w:rsid w:val="008D0912"/>
    <w:rsid w:val="008D0B5B"/>
    <w:rsid w:val="008D0CA5"/>
    <w:rsid w:val="008D0D14"/>
    <w:rsid w:val="008D128B"/>
    <w:rsid w:val="008D1424"/>
    <w:rsid w:val="008D163F"/>
    <w:rsid w:val="008D2629"/>
    <w:rsid w:val="008D28FE"/>
    <w:rsid w:val="008D2989"/>
    <w:rsid w:val="008D2A5C"/>
    <w:rsid w:val="008D2D9F"/>
    <w:rsid w:val="008D2E20"/>
    <w:rsid w:val="008D2F3A"/>
    <w:rsid w:val="008D3547"/>
    <w:rsid w:val="008D3D13"/>
    <w:rsid w:val="008D4053"/>
    <w:rsid w:val="008D45FC"/>
    <w:rsid w:val="008D4618"/>
    <w:rsid w:val="008D54EE"/>
    <w:rsid w:val="008D576C"/>
    <w:rsid w:val="008D5D38"/>
    <w:rsid w:val="008D6182"/>
    <w:rsid w:val="008D6BDA"/>
    <w:rsid w:val="008D7020"/>
    <w:rsid w:val="008D74A7"/>
    <w:rsid w:val="008D7EE8"/>
    <w:rsid w:val="008E0031"/>
    <w:rsid w:val="008E07F1"/>
    <w:rsid w:val="008E0CA7"/>
    <w:rsid w:val="008E10ED"/>
    <w:rsid w:val="008E122E"/>
    <w:rsid w:val="008E1400"/>
    <w:rsid w:val="008E1653"/>
    <w:rsid w:val="008E1A92"/>
    <w:rsid w:val="008E1DDA"/>
    <w:rsid w:val="008E2104"/>
    <w:rsid w:val="008E2306"/>
    <w:rsid w:val="008E24AE"/>
    <w:rsid w:val="008E2901"/>
    <w:rsid w:val="008E2926"/>
    <w:rsid w:val="008E2F00"/>
    <w:rsid w:val="008E3740"/>
    <w:rsid w:val="008E37D8"/>
    <w:rsid w:val="008E38AC"/>
    <w:rsid w:val="008E3D85"/>
    <w:rsid w:val="008E3E6C"/>
    <w:rsid w:val="008E406E"/>
    <w:rsid w:val="008E46A9"/>
    <w:rsid w:val="008E4A75"/>
    <w:rsid w:val="008E4B1F"/>
    <w:rsid w:val="008E4FBF"/>
    <w:rsid w:val="008E5160"/>
    <w:rsid w:val="008E5231"/>
    <w:rsid w:val="008E5BED"/>
    <w:rsid w:val="008E5F1B"/>
    <w:rsid w:val="008E5F2E"/>
    <w:rsid w:val="008E6285"/>
    <w:rsid w:val="008E653C"/>
    <w:rsid w:val="008E6786"/>
    <w:rsid w:val="008E6CE4"/>
    <w:rsid w:val="008E6ED4"/>
    <w:rsid w:val="008E7583"/>
    <w:rsid w:val="008E763B"/>
    <w:rsid w:val="008E7DE6"/>
    <w:rsid w:val="008E7F09"/>
    <w:rsid w:val="008E7FA7"/>
    <w:rsid w:val="008F00B9"/>
    <w:rsid w:val="008F0408"/>
    <w:rsid w:val="008F064D"/>
    <w:rsid w:val="008F0662"/>
    <w:rsid w:val="008F0722"/>
    <w:rsid w:val="008F144B"/>
    <w:rsid w:val="008F167D"/>
    <w:rsid w:val="008F16B0"/>
    <w:rsid w:val="008F1D9B"/>
    <w:rsid w:val="008F2272"/>
    <w:rsid w:val="008F2E93"/>
    <w:rsid w:val="008F2ED2"/>
    <w:rsid w:val="008F2F03"/>
    <w:rsid w:val="008F3000"/>
    <w:rsid w:val="008F306F"/>
    <w:rsid w:val="008F3300"/>
    <w:rsid w:val="008F36D3"/>
    <w:rsid w:val="008F37C7"/>
    <w:rsid w:val="008F3A29"/>
    <w:rsid w:val="008F3B2D"/>
    <w:rsid w:val="008F3C45"/>
    <w:rsid w:val="008F4294"/>
    <w:rsid w:val="008F4401"/>
    <w:rsid w:val="008F44E0"/>
    <w:rsid w:val="008F497B"/>
    <w:rsid w:val="008F4994"/>
    <w:rsid w:val="008F4B3D"/>
    <w:rsid w:val="008F4C8A"/>
    <w:rsid w:val="008F4E1E"/>
    <w:rsid w:val="008F4E4E"/>
    <w:rsid w:val="008F513A"/>
    <w:rsid w:val="008F5534"/>
    <w:rsid w:val="008F5720"/>
    <w:rsid w:val="008F5BC0"/>
    <w:rsid w:val="008F5F96"/>
    <w:rsid w:val="008F615A"/>
    <w:rsid w:val="008F66E0"/>
    <w:rsid w:val="008F6801"/>
    <w:rsid w:val="008F6FC2"/>
    <w:rsid w:val="008F6FE0"/>
    <w:rsid w:val="008F71F5"/>
    <w:rsid w:val="008F745B"/>
    <w:rsid w:val="008F7480"/>
    <w:rsid w:val="008F7ED8"/>
    <w:rsid w:val="009004C8"/>
    <w:rsid w:val="00900648"/>
    <w:rsid w:val="00900A80"/>
    <w:rsid w:val="00900AD9"/>
    <w:rsid w:val="00900B64"/>
    <w:rsid w:val="00900D0F"/>
    <w:rsid w:val="00900F69"/>
    <w:rsid w:val="0090119C"/>
    <w:rsid w:val="0090139A"/>
    <w:rsid w:val="0090196E"/>
    <w:rsid w:val="00901C22"/>
    <w:rsid w:val="00901F01"/>
    <w:rsid w:val="00902068"/>
    <w:rsid w:val="009022C9"/>
    <w:rsid w:val="00902A3C"/>
    <w:rsid w:val="00902B25"/>
    <w:rsid w:val="00902BCA"/>
    <w:rsid w:val="0090300D"/>
    <w:rsid w:val="009031A7"/>
    <w:rsid w:val="009032ED"/>
    <w:rsid w:val="00903A5B"/>
    <w:rsid w:val="00903E3A"/>
    <w:rsid w:val="00903E5D"/>
    <w:rsid w:val="00904F0F"/>
    <w:rsid w:val="00905115"/>
    <w:rsid w:val="00905155"/>
    <w:rsid w:val="0090544A"/>
    <w:rsid w:val="00905514"/>
    <w:rsid w:val="00905596"/>
    <w:rsid w:val="0090575D"/>
    <w:rsid w:val="00906352"/>
    <w:rsid w:val="00906365"/>
    <w:rsid w:val="00906C5C"/>
    <w:rsid w:val="00906D64"/>
    <w:rsid w:val="0090740F"/>
    <w:rsid w:val="00907545"/>
    <w:rsid w:val="00907E7C"/>
    <w:rsid w:val="00907EB8"/>
    <w:rsid w:val="00907FAE"/>
    <w:rsid w:val="0091042C"/>
    <w:rsid w:val="009107EB"/>
    <w:rsid w:val="00910D9E"/>
    <w:rsid w:val="00911207"/>
    <w:rsid w:val="009116D9"/>
    <w:rsid w:val="00911AD1"/>
    <w:rsid w:val="00911F03"/>
    <w:rsid w:val="00911FBB"/>
    <w:rsid w:val="00912296"/>
    <w:rsid w:val="009130A1"/>
    <w:rsid w:val="009136BD"/>
    <w:rsid w:val="00913AB2"/>
    <w:rsid w:val="00913C82"/>
    <w:rsid w:val="00914728"/>
    <w:rsid w:val="00914BD5"/>
    <w:rsid w:val="00914DAA"/>
    <w:rsid w:val="009154F0"/>
    <w:rsid w:val="00915D8C"/>
    <w:rsid w:val="0091644C"/>
    <w:rsid w:val="00917020"/>
    <w:rsid w:val="00917081"/>
    <w:rsid w:val="009173D7"/>
    <w:rsid w:val="0091764E"/>
    <w:rsid w:val="009177D7"/>
    <w:rsid w:val="00920005"/>
    <w:rsid w:val="00920567"/>
    <w:rsid w:val="0092072A"/>
    <w:rsid w:val="00920FAE"/>
    <w:rsid w:val="009210BF"/>
    <w:rsid w:val="009210F2"/>
    <w:rsid w:val="009213BA"/>
    <w:rsid w:val="009215AB"/>
    <w:rsid w:val="00921670"/>
    <w:rsid w:val="00921813"/>
    <w:rsid w:val="00921D53"/>
    <w:rsid w:val="009225FC"/>
    <w:rsid w:val="00922758"/>
    <w:rsid w:val="0092286E"/>
    <w:rsid w:val="009229C6"/>
    <w:rsid w:val="00922AC0"/>
    <w:rsid w:val="00923706"/>
    <w:rsid w:val="0092370F"/>
    <w:rsid w:val="00923720"/>
    <w:rsid w:val="0092392D"/>
    <w:rsid w:val="00923A5B"/>
    <w:rsid w:val="00923A87"/>
    <w:rsid w:val="00923D02"/>
    <w:rsid w:val="00924513"/>
    <w:rsid w:val="0092475E"/>
    <w:rsid w:val="00924977"/>
    <w:rsid w:val="00924A4F"/>
    <w:rsid w:val="009250F4"/>
    <w:rsid w:val="00925362"/>
    <w:rsid w:val="00925375"/>
    <w:rsid w:val="00925390"/>
    <w:rsid w:val="009261E2"/>
    <w:rsid w:val="009263D5"/>
    <w:rsid w:val="0092654F"/>
    <w:rsid w:val="00926AB2"/>
    <w:rsid w:val="00926BBB"/>
    <w:rsid w:val="00926C40"/>
    <w:rsid w:val="00926FF3"/>
    <w:rsid w:val="00926FFF"/>
    <w:rsid w:val="0092703A"/>
    <w:rsid w:val="009270B3"/>
    <w:rsid w:val="0092732E"/>
    <w:rsid w:val="00927693"/>
    <w:rsid w:val="009279C0"/>
    <w:rsid w:val="00927A12"/>
    <w:rsid w:val="00927E0C"/>
    <w:rsid w:val="00927E5F"/>
    <w:rsid w:val="009300D8"/>
    <w:rsid w:val="0093011A"/>
    <w:rsid w:val="00930215"/>
    <w:rsid w:val="00930A3B"/>
    <w:rsid w:val="00930C21"/>
    <w:rsid w:val="00930DDA"/>
    <w:rsid w:val="009311F0"/>
    <w:rsid w:val="009315BD"/>
    <w:rsid w:val="009316D0"/>
    <w:rsid w:val="00931AB4"/>
    <w:rsid w:val="00931BAF"/>
    <w:rsid w:val="00931C46"/>
    <w:rsid w:val="009323F0"/>
    <w:rsid w:val="00932A83"/>
    <w:rsid w:val="00932C04"/>
    <w:rsid w:val="00932FDB"/>
    <w:rsid w:val="00933482"/>
    <w:rsid w:val="009339C8"/>
    <w:rsid w:val="00933F18"/>
    <w:rsid w:val="0093428C"/>
    <w:rsid w:val="009345B3"/>
    <w:rsid w:val="00934676"/>
    <w:rsid w:val="00934B76"/>
    <w:rsid w:val="00934BA4"/>
    <w:rsid w:val="00935040"/>
    <w:rsid w:val="009354A3"/>
    <w:rsid w:val="009359EC"/>
    <w:rsid w:val="00935CF9"/>
    <w:rsid w:val="00935F71"/>
    <w:rsid w:val="00936131"/>
    <w:rsid w:val="00936E98"/>
    <w:rsid w:val="00937C00"/>
    <w:rsid w:val="00937D09"/>
    <w:rsid w:val="00940182"/>
    <w:rsid w:val="009408FD"/>
    <w:rsid w:val="00940DD8"/>
    <w:rsid w:val="00940F66"/>
    <w:rsid w:val="009417B7"/>
    <w:rsid w:val="00941D49"/>
    <w:rsid w:val="00941D52"/>
    <w:rsid w:val="00941D68"/>
    <w:rsid w:val="009423EF"/>
    <w:rsid w:val="00942B71"/>
    <w:rsid w:val="00942F8B"/>
    <w:rsid w:val="009430E1"/>
    <w:rsid w:val="0094310A"/>
    <w:rsid w:val="00943A2E"/>
    <w:rsid w:val="00943C97"/>
    <w:rsid w:val="00943DDC"/>
    <w:rsid w:val="00944441"/>
    <w:rsid w:val="00944F88"/>
    <w:rsid w:val="00944FD3"/>
    <w:rsid w:val="00945276"/>
    <w:rsid w:val="009452EB"/>
    <w:rsid w:val="0094533F"/>
    <w:rsid w:val="00945363"/>
    <w:rsid w:val="009454FE"/>
    <w:rsid w:val="00945A34"/>
    <w:rsid w:val="00945A85"/>
    <w:rsid w:val="00945E08"/>
    <w:rsid w:val="009460DC"/>
    <w:rsid w:val="00946163"/>
    <w:rsid w:val="009468F0"/>
    <w:rsid w:val="0094694C"/>
    <w:rsid w:val="00946F74"/>
    <w:rsid w:val="009471F9"/>
    <w:rsid w:val="009478CE"/>
    <w:rsid w:val="009478D2"/>
    <w:rsid w:val="009479AE"/>
    <w:rsid w:val="00947BB5"/>
    <w:rsid w:val="00947C14"/>
    <w:rsid w:val="009502EB"/>
    <w:rsid w:val="009503E4"/>
    <w:rsid w:val="00950493"/>
    <w:rsid w:val="00950575"/>
    <w:rsid w:val="00950769"/>
    <w:rsid w:val="0095097B"/>
    <w:rsid w:val="00950DA8"/>
    <w:rsid w:val="0095140F"/>
    <w:rsid w:val="0095145D"/>
    <w:rsid w:val="00951839"/>
    <w:rsid w:val="009526BE"/>
    <w:rsid w:val="009528A4"/>
    <w:rsid w:val="009528DF"/>
    <w:rsid w:val="0095291F"/>
    <w:rsid w:val="00953673"/>
    <w:rsid w:val="009537FC"/>
    <w:rsid w:val="00953825"/>
    <w:rsid w:val="00953BA7"/>
    <w:rsid w:val="009544C5"/>
    <w:rsid w:val="0095479C"/>
    <w:rsid w:val="009550C9"/>
    <w:rsid w:val="00955860"/>
    <w:rsid w:val="00956107"/>
    <w:rsid w:val="00956722"/>
    <w:rsid w:val="009568B5"/>
    <w:rsid w:val="00956FE8"/>
    <w:rsid w:val="00957037"/>
    <w:rsid w:val="00957215"/>
    <w:rsid w:val="0095721F"/>
    <w:rsid w:val="00957247"/>
    <w:rsid w:val="00957372"/>
    <w:rsid w:val="009575F0"/>
    <w:rsid w:val="00957A46"/>
    <w:rsid w:val="00957E28"/>
    <w:rsid w:val="00957EDA"/>
    <w:rsid w:val="00957EFF"/>
    <w:rsid w:val="0096041F"/>
    <w:rsid w:val="0096087B"/>
    <w:rsid w:val="00960DB4"/>
    <w:rsid w:val="00961482"/>
    <w:rsid w:val="0096189E"/>
    <w:rsid w:val="00961960"/>
    <w:rsid w:val="00961FE0"/>
    <w:rsid w:val="00962330"/>
    <w:rsid w:val="0096280D"/>
    <w:rsid w:val="009628D7"/>
    <w:rsid w:val="00963116"/>
    <w:rsid w:val="0096357E"/>
    <w:rsid w:val="00964618"/>
    <w:rsid w:val="00964759"/>
    <w:rsid w:val="00964C93"/>
    <w:rsid w:val="0096505F"/>
    <w:rsid w:val="00965424"/>
    <w:rsid w:val="00965520"/>
    <w:rsid w:val="00965962"/>
    <w:rsid w:val="00965B5A"/>
    <w:rsid w:val="00965CE4"/>
    <w:rsid w:val="00966282"/>
    <w:rsid w:val="009662C3"/>
    <w:rsid w:val="009664B6"/>
    <w:rsid w:val="00966538"/>
    <w:rsid w:val="009665D3"/>
    <w:rsid w:val="009667FF"/>
    <w:rsid w:val="0096696F"/>
    <w:rsid w:val="00966A22"/>
    <w:rsid w:val="00966B0E"/>
    <w:rsid w:val="00966B1D"/>
    <w:rsid w:val="00967013"/>
    <w:rsid w:val="009674D9"/>
    <w:rsid w:val="009675D5"/>
    <w:rsid w:val="0096760F"/>
    <w:rsid w:val="0096791B"/>
    <w:rsid w:val="00967A1C"/>
    <w:rsid w:val="00970430"/>
    <w:rsid w:val="00970E90"/>
    <w:rsid w:val="00971109"/>
    <w:rsid w:val="00971AF6"/>
    <w:rsid w:val="00971E6E"/>
    <w:rsid w:val="00971FF8"/>
    <w:rsid w:val="00972257"/>
    <w:rsid w:val="0097227D"/>
    <w:rsid w:val="00972496"/>
    <w:rsid w:val="00972818"/>
    <w:rsid w:val="00972989"/>
    <w:rsid w:val="009729E4"/>
    <w:rsid w:val="00972A70"/>
    <w:rsid w:val="0097389D"/>
    <w:rsid w:val="00973EFA"/>
    <w:rsid w:val="00974665"/>
    <w:rsid w:val="0097481D"/>
    <w:rsid w:val="00974920"/>
    <w:rsid w:val="00975580"/>
    <w:rsid w:val="009755AB"/>
    <w:rsid w:val="009758B3"/>
    <w:rsid w:val="00975DBF"/>
    <w:rsid w:val="00975F81"/>
    <w:rsid w:val="00975F9D"/>
    <w:rsid w:val="00976074"/>
    <w:rsid w:val="009765D7"/>
    <w:rsid w:val="00976802"/>
    <w:rsid w:val="00976C16"/>
    <w:rsid w:val="00976E1C"/>
    <w:rsid w:val="00976FB6"/>
    <w:rsid w:val="0097720E"/>
    <w:rsid w:val="009777CE"/>
    <w:rsid w:val="00977E5C"/>
    <w:rsid w:val="0098034F"/>
    <w:rsid w:val="00980909"/>
    <w:rsid w:val="00981607"/>
    <w:rsid w:val="00981E8A"/>
    <w:rsid w:val="0098237E"/>
    <w:rsid w:val="00982FD6"/>
    <w:rsid w:val="0098301C"/>
    <w:rsid w:val="00983337"/>
    <w:rsid w:val="00983B9F"/>
    <w:rsid w:val="009846DB"/>
    <w:rsid w:val="0098477E"/>
    <w:rsid w:val="0098496A"/>
    <w:rsid w:val="00984CCE"/>
    <w:rsid w:val="009852A4"/>
    <w:rsid w:val="009854ED"/>
    <w:rsid w:val="00985766"/>
    <w:rsid w:val="0098658C"/>
    <w:rsid w:val="00986866"/>
    <w:rsid w:val="0098695C"/>
    <w:rsid w:val="00986CD3"/>
    <w:rsid w:val="00986CF3"/>
    <w:rsid w:val="0098713D"/>
    <w:rsid w:val="009876A3"/>
    <w:rsid w:val="0098779C"/>
    <w:rsid w:val="00987825"/>
    <w:rsid w:val="0098795B"/>
    <w:rsid w:val="009909F2"/>
    <w:rsid w:val="00990E2A"/>
    <w:rsid w:val="00990EC8"/>
    <w:rsid w:val="0099109A"/>
    <w:rsid w:val="00991442"/>
    <w:rsid w:val="009916FC"/>
    <w:rsid w:val="00991A06"/>
    <w:rsid w:val="00991AA8"/>
    <w:rsid w:val="00992189"/>
    <w:rsid w:val="0099257F"/>
    <w:rsid w:val="0099265D"/>
    <w:rsid w:val="009926B0"/>
    <w:rsid w:val="00992974"/>
    <w:rsid w:val="00992B5C"/>
    <w:rsid w:val="00992DD8"/>
    <w:rsid w:val="00992F8B"/>
    <w:rsid w:val="0099385F"/>
    <w:rsid w:val="009939E9"/>
    <w:rsid w:val="00993A0B"/>
    <w:rsid w:val="00993C15"/>
    <w:rsid w:val="00993D41"/>
    <w:rsid w:val="00994272"/>
    <w:rsid w:val="009948F5"/>
    <w:rsid w:val="00995169"/>
    <w:rsid w:val="00995282"/>
    <w:rsid w:val="009952A1"/>
    <w:rsid w:val="00995CEB"/>
    <w:rsid w:val="00995EC5"/>
    <w:rsid w:val="00995FEC"/>
    <w:rsid w:val="009966FC"/>
    <w:rsid w:val="00996C14"/>
    <w:rsid w:val="0099740D"/>
    <w:rsid w:val="00997448"/>
    <w:rsid w:val="00997D7B"/>
    <w:rsid w:val="00997E6D"/>
    <w:rsid w:val="009A02A4"/>
    <w:rsid w:val="009A0A3C"/>
    <w:rsid w:val="009A0D0A"/>
    <w:rsid w:val="009A0ECF"/>
    <w:rsid w:val="009A1086"/>
    <w:rsid w:val="009A179F"/>
    <w:rsid w:val="009A1839"/>
    <w:rsid w:val="009A1E44"/>
    <w:rsid w:val="009A2736"/>
    <w:rsid w:val="009A2B5E"/>
    <w:rsid w:val="009A2ECF"/>
    <w:rsid w:val="009A2F69"/>
    <w:rsid w:val="009A30CD"/>
    <w:rsid w:val="009A3156"/>
    <w:rsid w:val="009A323D"/>
    <w:rsid w:val="009A3390"/>
    <w:rsid w:val="009A33AD"/>
    <w:rsid w:val="009A3502"/>
    <w:rsid w:val="009A35D8"/>
    <w:rsid w:val="009A3991"/>
    <w:rsid w:val="009A3B08"/>
    <w:rsid w:val="009A4012"/>
    <w:rsid w:val="009A42E7"/>
    <w:rsid w:val="009A451B"/>
    <w:rsid w:val="009A510C"/>
    <w:rsid w:val="009A5125"/>
    <w:rsid w:val="009A5413"/>
    <w:rsid w:val="009A5EC1"/>
    <w:rsid w:val="009A5F17"/>
    <w:rsid w:val="009A6214"/>
    <w:rsid w:val="009A6248"/>
    <w:rsid w:val="009A68A0"/>
    <w:rsid w:val="009A6A7E"/>
    <w:rsid w:val="009A6C5A"/>
    <w:rsid w:val="009A7781"/>
    <w:rsid w:val="009A788D"/>
    <w:rsid w:val="009A78A1"/>
    <w:rsid w:val="009A79FB"/>
    <w:rsid w:val="009A7AB1"/>
    <w:rsid w:val="009B0915"/>
    <w:rsid w:val="009B0AD1"/>
    <w:rsid w:val="009B14F6"/>
    <w:rsid w:val="009B1921"/>
    <w:rsid w:val="009B1C55"/>
    <w:rsid w:val="009B1E15"/>
    <w:rsid w:val="009B2ED3"/>
    <w:rsid w:val="009B3151"/>
    <w:rsid w:val="009B32D0"/>
    <w:rsid w:val="009B36C8"/>
    <w:rsid w:val="009B3C6B"/>
    <w:rsid w:val="009B415E"/>
    <w:rsid w:val="009B4597"/>
    <w:rsid w:val="009B4A11"/>
    <w:rsid w:val="009B4C0F"/>
    <w:rsid w:val="009B4C91"/>
    <w:rsid w:val="009B4FEE"/>
    <w:rsid w:val="009B51B0"/>
    <w:rsid w:val="009B52D5"/>
    <w:rsid w:val="009B5317"/>
    <w:rsid w:val="009B5399"/>
    <w:rsid w:val="009B53FB"/>
    <w:rsid w:val="009B5601"/>
    <w:rsid w:val="009B5939"/>
    <w:rsid w:val="009B59A2"/>
    <w:rsid w:val="009B5A33"/>
    <w:rsid w:val="009B641B"/>
    <w:rsid w:val="009B6B0A"/>
    <w:rsid w:val="009B7075"/>
    <w:rsid w:val="009B7246"/>
    <w:rsid w:val="009B741A"/>
    <w:rsid w:val="009B767C"/>
    <w:rsid w:val="009C0288"/>
    <w:rsid w:val="009C04EC"/>
    <w:rsid w:val="009C09C0"/>
    <w:rsid w:val="009C0BC0"/>
    <w:rsid w:val="009C0C9B"/>
    <w:rsid w:val="009C0DF9"/>
    <w:rsid w:val="009C0EA4"/>
    <w:rsid w:val="009C114C"/>
    <w:rsid w:val="009C1538"/>
    <w:rsid w:val="009C159B"/>
    <w:rsid w:val="009C1754"/>
    <w:rsid w:val="009C193C"/>
    <w:rsid w:val="009C23E7"/>
    <w:rsid w:val="009C2506"/>
    <w:rsid w:val="009C25BE"/>
    <w:rsid w:val="009C28CC"/>
    <w:rsid w:val="009C29A5"/>
    <w:rsid w:val="009C2C24"/>
    <w:rsid w:val="009C2EA3"/>
    <w:rsid w:val="009C3174"/>
    <w:rsid w:val="009C3201"/>
    <w:rsid w:val="009C3294"/>
    <w:rsid w:val="009C3755"/>
    <w:rsid w:val="009C3B7E"/>
    <w:rsid w:val="009C3C0F"/>
    <w:rsid w:val="009C3CB1"/>
    <w:rsid w:val="009C46F1"/>
    <w:rsid w:val="009C474C"/>
    <w:rsid w:val="009C48BD"/>
    <w:rsid w:val="009C4A44"/>
    <w:rsid w:val="009C4E2C"/>
    <w:rsid w:val="009C4F22"/>
    <w:rsid w:val="009C500A"/>
    <w:rsid w:val="009C507A"/>
    <w:rsid w:val="009C5876"/>
    <w:rsid w:val="009C5950"/>
    <w:rsid w:val="009C5E7B"/>
    <w:rsid w:val="009C5EFC"/>
    <w:rsid w:val="009C634D"/>
    <w:rsid w:val="009C6A61"/>
    <w:rsid w:val="009C720E"/>
    <w:rsid w:val="009C7493"/>
    <w:rsid w:val="009C78C8"/>
    <w:rsid w:val="009C78E6"/>
    <w:rsid w:val="009D0A21"/>
    <w:rsid w:val="009D0A98"/>
    <w:rsid w:val="009D0B22"/>
    <w:rsid w:val="009D11F6"/>
    <w:rsid w:val="009D13B3"/>
    <w:rsid w:val="009D1A81"/>
    <w:rsid w:val="009D1FE9"/>
    <w:rsid w:val="009D24CD"/>
    <w:rsid w:val="009D256E"/>
    <w:rsid w:val="009D25AF"/>
    <w:rsid w:val="009D2650"/>
    <w:rsid w:val="009D2777"/>
    <w:rsid w:val="009D29E7"/>
    <w:rsid w:val="009D2DC7"/>
    <w:rsid w:val="009D31B6"/>
    <w:rsid w:val="009D327A"/>
    <w:rsid w:val="009D3616"/>
    <w:rsid w:val="009D3BE8"/>
    <w:rsid w:val="009D4555"/>
    <w:rsid w:val="009D4753"/>
    <w:rsid w:val="009D49D8"/>
    <w:rsid w:val="009D52CB"/>
    <w:rsid w:val="009D5433"/>
    <w:rsid w:val="009D5842"/>
    <w:rsid w:val="009D584E"/>
    <w:rsid w:val="009D5DFB"/>
    <w:rsid w:val="009D5EEB"/>
    <w:rsid w:val="009D5FB1"/>
    <w:rsid w:val="009D6C6D"/>
    <w:rsid w:val="009D6F9F"/>
    <w:rsid w:val="009D77AF"/>
    <w:rsid w:val="009D7ACE"/>
    <w:rsid w:val="009D7B6A"/>
    <w:rsid w:val="009D7F26"/>
    <w:rsid w:val="009E053E"/>
    <w:rsid w:val="009E071E"/>
    <w:rsid w:val="009E0E38"/>
    <w:rsid w:val="009E198A"/>
    <w:rsid w:val="009E1E6A"/>
    <w:rsid w:val="009E1EC7"/>
    <w:rsid w:val="009E23C5"/>
    <w:rsid w:val="009E2867"/>
    <w:rsid w:val="009E2DC5"/>
    <w:rsid w:val="009E32CB"/>
    <w:rsid w:val="009E3563"/>
    <w:rsid w:val="009E378B"/>
    <w:rsid w:val="009E3A63"/>
    <w:rsid w:val="009E3FFA"/>
    <w:rsid w:val="009E43BF"/>
    <w:rsid w:val="009E4576"/>
    <w:rsid w:val="009E4639"/>
    <w:rsid w:val="009E4683"/>
    <w:rsid w:val="009E5099"/>
    <w:rsid w:val="009E573B"/>
    <w:rsid w:val="009E594C"/>
    <w:rsid w:val="009E5A6D"/>
    <w:rsid w:val="009E5C9D"/>
    <w:rsid w:val="009E5DFC"/>
    <w:rsid w:val="009E5E5E"/>
    <w:rsid w:val="009E5EF8"/>
    <w:rsid w:val="009E6235"/>
    <w:rsid w:val="009E6758"/>
    <w:rsid w:val="009E73CE"/>
    <w:rsid w:val="009E74FB"/>
    <w:rsid w:val="009E7827"/>
    <w:rsid w:val="009F0827"/>
    <w:rsid w:val="009F0880"/>
    <w:rsid w:val="009F100D"/>
    <w:rsid w:val="009F128E"/>
    <w:rsid w:val="009F15A8"/>
    <w:rsid w:val="009F1B1E"/>
    <w:rsid w:val="009F220B"/>
    <w:rsid w:val="009F2311"/>
    <w:rsid w:val="009F25CC"/>
    <w:rsid w:val="009F275E"/>
    <w:rsid w:val="009F2DC0"/>
    <w:rsid w:val="009F2E84"/>
    <w:rsid w:val="009F36A0"/>
    <w:rsid w:val="009F374F"/>
    <w:rsid w:val="009F3A3B"/>
    <w:rsid w:val="009F3C97"/>
    <w:rsid w:val="009F400A"/>
    <w:rsid w:val="009F48BA"/>
    <w:rsid w:val="009F4970"/>
    <w:rsid w:val="009F4C96"/>
    <w:rsid w:val="009F524B"/>
    <w:rsid w:val="009F52DB"/>
    <w:rsid w:val="009F552A"/>
    <w:rsid w:val="009F575A"/>
    <w:rsid w:val="009F5B25"/>
    <w:rsid w:val="009F5E49"/>
    <w:rsid w:val="009F624B"/>
    <w:rsid w:val="009F6362"/>
    <w:rsid w:val="009F64EB"/>
    <w:rsid w:val="009F65A3"/>
    <w:rsid w:val="009F6B2C"/>
    <w:rsid w:val="009F6C73"/>
    <w:rsid w:val="009F71A4"/>
    <w:rsid w:val="009F71BC"/>
    <w:rsid w:val="009F7201"/>
    <w:rsid w:val="009F737D"/>
    <w:rsid w:val="009F7AE3"/>
    <w:rsid w:val="009F7D88"/>
    <w:rsid w:val="00A001BF"/>
    <w:rsid w:val="00A011B4"/>
    <w:rsid w:val="00A01394"/>
    <w:rsid w:val="00A01C03"/>
    <w:rsid w:val="00A01D9B"/>
    <w:rsid w:val="00A01F1F"/>
    <w:rsid w:val="00A02138"/>
    <w:rsid w:val="00A025CE"/>
    <w:rsid w:val="00A028E0"/>
    <w:rsid w:val="00A0296D"/>
    <w:rsid w:val="00A02C49"/>
    <w:rsid w:val="00A02D57"/>
    <w:rsid w:val="00A02E7A"/>
    <w:rsid w:val="00A0307F"/>
    <w:rsid w:val="00A03522"/>
    <w:rsid w:val="00A03547"/>
    <w:rsid w:val="00A03C20"/>
    <w:rsid w:val="00A03F14"/>
    <w:rsid w:val="00A043B8"/>
    <w:rsid w:val="00A04C1F"/>
    <w:rsid w:val="00A04CC9"/>
    <w:rsid w:val="00A05331"/>
    <w:rsid w:val="00A05406"/>
    <w:rsid w:val="00A05901"/>
    <w:rsid w:val="00A05D50"/>
    <w:rsid w:val="00A061A4"/>
    <w:rsid w:val="00A063A3"/>
    <w:rsid w:val="00A06429"/>
    <w:rsid w:val="00A06CD0"/>
    <w:rsid w:val="00A070C5"/>
    <w:rsid w:val="00A0721D"/>
    <w:rsid w:val="00A076BA"/>
    <w:rsid w:val="00A07755"/>
    <w:rsid w:val="00A07C6A"/>
    <w:rsid w:val="00A07D40"/>
    <w:rsid w:val="00A10289"/>
    <w:rsid w:val="00A10701"/>
    <w:rsid w:val="00A1096B"/>
    <w:rsid w:val="00A112E5"/>
    <w:rsid w:val="00A11EB8"/>
    <w:rsid w:val="00A12531"/>
    <w:rsid w:val="00A1261D"/>
    <w:rsid w:val="00A127C8"/>
    <w:rsid w:val="00A129B9"/>
    <w:rsid w:val="00A12D40"/>
    <w:rsid w:val="00A13B58"/>
    <w:rsid w:val="00A144E9"/>
    <w:rsid w:val="00A145AC"/>
    <w:rsid w:val="00A146A3"/>
    <w:rsid w:val="00A14762"/>
    <w:rsid w:val="00A147F7"/>
    <w:rsid w:val="00A148B4"/>
    <w:rsid w:val="00A14DA0"/>
    <w:rsid w:val="00A1547B"/>
    <w:rsid w:val="00A155FE"/>
    <w:rsid w:val="00A157B5"/>
    <w:rsid w:val="00A15A4E"/>
    <w:rsid w:val="00A160CB"/>
    <w:rsid w:val="00A16278"/>
    <w:rsid w:val="00A16706"/>
    <w:rsid w:val="00A168F3"/>
    <w:rsid w:val="00A16987"/>
    <w:rsid w:val="00A1717C"/>
    <w:rsid w:val="00A174BA"/>
    <w:rsid w:val="00A17563"/>
    <w:rsid w:val="00A1782A"/>
    <w:rsid w:val="00A17B82"/>
    <w:rsid w:val="00A2033E"/>
    <w:rsid w:val="00A203BC"/>
    <w:rsid w:val="00A203C8"/>
    <w:rsid w:val="00A20558"/>
    <w:rsid w:val="00A206D7"/>
    <w:rsid w:val="00A20758"/>
    <w:rsid w:val="00A208F9"/>
    <w:rsid w:val="00A20DBB"/>
    <w:rsid w:val="00A21CFE"/>
    <w:rsid w:val="00A21D3D"/>
    <w:rsid w:val="00A21D78"/>
    <w:rsid w:val="00A21DB5"/>
    <w:rsid w:val="00A22515"/>
    <w:rsid w:val="00A22611"/>
    <w:rsid w:val="00A22662"/>
    <w:rsid w:val="00A22C41"/>
    <w:rsid w:val="00A22FC8"/>
    <w:rsid w:val="00A236EF"/>
    <w:rsid w:val="00A23918"/>
    <w:rsid w:val="00A24190"/>
    <w:rsid w:val="00A242B8"/>
    <w:rsid w:val="00A2475C"/>
    <w:rsid w:val="00A24B52"/>
    <w:rsid w:val="00A24E8F"/>
    <w:rsid w:val="00A2560C"/>
    <w:rsid w:val="00A2577F"/>
    <w:rsid w:val="00A259D7"/>
    <w:rsid w:val="00A25F0A"/>
    <w:rsid w:val="00A26BA3"/>
    <w:rsid w:val="00A26E8C"/>
    <w:rsid w:val="00A26FE7"/>
    <w:rsid w:val="00A278C6"/>
    <w:rsid w:val="00A27AAF"/>
    <w:rsid w:val="00A27B31"/>
    <w:rsid w:val="00A27BAF"/>
    <w:rsid w:val="00A27C73"/>
    <w:rsid w:val="00A27CB6"/>
    <w:rsid w:val="00A27D3E"/>
    <w:rsid w:val="00A27D9D"/>
    <w:rsid w:val="00A27F5F"/>
    <w:rsid w:val="00A3035F"/>
    <w:rsid w:val="00A30A19"/>
    <w:rsid w:val="00A30D4D"/>
    <w:rsid w:val="00A30FE9"/>
    <w:rsid w:val="00A3100E"/>
    <w:rsid w:val="00A31189"/>
    <w:rsid w:val="00A3123A"/>
    <w:rsid w:val="00A3158B"/>
    <w:rsid w:val="00A31B3A"/>
    <w:rsid w:val="00A320A7"/>
    <w:rsid w:val="00A322FB"/>
    <w:rsid w:val="00A32888"/>
    <w:rsid w:val="00A32905"/>
    <w:rsid w:val="00A3290B"/>
    <w:rsid w:val="00A336F5"/>
    <w:rsid w:val="00A33704"/>
    <w:rsid w:val="00A33EFE"/>
    <w:rsid w:val="00A33F9B"/>
    <w:rsid w:val="00A34015"/>
    <w:rsid w:val="00A3405C"/>
    <w:rsid w:val="00A34072"/>
    <w:rsid w:val="00A3422C"/>
    <w:rsid w:val="00A34278"/>
    <w:rsid w:val="00A343D9"/>
    <w:rsid w:val="00A345E9"/>
    <w:rsid w:val="00A34C79"/>
    <w:rsid w:val="00A34F5C"/>
    <w:rsid w:val="00A357F4"/>
    <w:rsid w:val="00A35843"/>
    <w:rsid w:val="00A36E1A"/>
    <w:rsid w:val="00A37089"/>
    <w:rsid w:val="00A37218"/>
    <w:rsid w:val="00A37336"/>
    <w:rsid w:val="00A375A3"/>
    <w:rsid w:val="00A378D3"/>
    <w:rsid w:val="00A379BB"/>
    <w:rsid w:val="00A37B8F"/>
    <w:rsid w:val="00A37EB7"/>
    <w:rsid w:val="00A4029E"/>
    <w:rsid w:val="00A40579"/>
    <w:rsid w:val="00A40E08"/>
    <w:rsid w:val="00A414FC"/>
    <w:rsid w:val="00A418D2"/>
    <w:rsid w:val="00A41F17"/>
    <w:rsid w:val="00A41F1F"/>
    <w:rsid w:val="00A4235B"/>
    <w:rsid w:val="00A4296F"/>
    <w:rsid w:val="00A42ACF"/>
    <w:rsid w:val="00A42BAA"/>
    <w:rsid w:val="00A42DCC"/>
    <w:rsid w:val="00A42F6E"/>
    <w:rsid w:val="00A436EB"/>
    <w:rsid w:val="00A43B97"/>
    <w:rsid w:val="00A43D86"/>
    <w:rsid w:val="00A444D4"/>
    <w:rsid w:val="00A449FA"/>
    <w:rsid w:val="00A44A58"/>
    <w:rsid w:val="00A455AF"/>
    <w:rsid w:val="00A45D50"/>
    <w:rsid w:val="00A45DF6"/>
    <w:rsid w:val="00A462F0"/>
    <w:rsid w:val="00A47898"/>
    <w:rsid w:val="00A500CC"/>
    <w:rsid w:val="00A50102"/>
    <w:rsid w:val="00A5016F"/>
    <w:rsid w:val="00A51211"/>
    <w:rsid w:val="00A514E3"/>
    <w:rsid w:val="00A5190A"/>
    <w:rsid w:val="00A51E19"/>
    <w:rsid w:val="00A52085"/>
    <w:rsid w:val="00A520F6"/>
    <w:rsid w:val="00A52364"/>
    <w:rsid w:val="00A52997"/>
    <w:rsid w:val="00A53228"/>
    <w:rsid w:val="00A53424"/>
    <w:rsid w:val="00A53CD8"/>
    <w:rsid w:val="00A53E6E"/>
    <w:rsid w:val="00A53F00"/>
    <w:rsid w:val="00A53F41"/>
    <w:rsid w:val="00A540A1"/>
    <w:rsid w:val="00A541EE"/>
    <w:rsid w:val="00A54306"/>
    <w:rsid w:val="00A5458A"/>
    <w:rsid w:val="00A547A2"/>
    <w:rsid w:val="00A547DD"/>
    <w:rsid w:val="00A552F7"/>
    <w:rsid w:val="00A55C27"/>
    <w:rsid w:val="00A55E17"/>
    <w:rsid w:val="00A5605E"/>
    <w:rsid w:val="00A560FD"/>
    <w:rsid w:val="00A56293"/>
    <w:rsid w:val="00A56792"/>
    <w:rsid w:val="00A567D6"/>
    <w:rsid w:val="00A56E3B"/>
    <w:rsid w:val="00A56F6C"/>
    <w:rsid w:val="00A57134"/>
    <w:rsid w:val="00A5783B"/>
    <w:rsid w:val="00A57DE0"/>
    <w:rsid w:val="00A57F4F"/>
    <w:rsid w:val="00A602E1"/>
    <w:rsid w:val="00A6117F"/>
    <w:rsid w:val="00A61499"/>
    <w:rsid w:val="00A6199B"/>
    <w:rsid w:val="00A61EED"/>
    <w:rsid w:val="00A62073"/>
    <w:rsid w:val="00A62689"/>
    <w:rsid w:val="00A626D7"/>
    <w:rsid w:val="00A62A77"/>
    <w:rsid w:val="00A62AD0"/>
    <w:rsid w:val="00A62D2F"/>
    <w:rsid w:val="00A63397"/>
    <w:rsid w:val="00A63D31"/>
    <w:rsid w:val="00A63E28"/>
    <w:rsid w:val="00A641B3"/>
    <w:rsid w:val="00A6458D"/>
    <w:rsid w:val="00A64B0A"/>
    <w:rsid w:val="00A64B8B"/>
    <w:rsid w:val="00A64D16"/>
    <w:rsid w:val="00A64D32"/>
    <w:rsid w:val="00A6518A"/>
    <w:rsid w:val="00A65475"/>
    <w:rsid w:val="00A66350"/>
    <w:rsid w:val="00A66CB5"/>
    <w:rsid w:val="00A6706B"/>
    <w:rsid w:val="00A6733E"/>
    <w:rsid w:val="00A67942"/>
    <w:rsid w:val="00A679E0"/>
    <w:rsid w:val="00A70002"/>
    <w:rsid w:val="00A70089"/>
    <w:rsid w:val="00A7051C"/>
    <w:rsid w:val="00A7092C"/>
    <w:rsid w:val="00A70A92"/>
    <w:rsid w:val="00A70C15"/>
    <w:rsid w:val="00A710BE"/>
    <w:rsid w:val="00A71158"/>
    <w:rsid w:val="00A711FB"/>
    <w:rsid w:val="00A7145D"/>
    <w:rsid w:val="00A71582"/>
    <w:rsid w:val="00A7172E"/>
    <w:rsid w:val="00A717AD"/>
    <w:rsid w:val="00A719FC"/>
    <w:rsid w:val="00A71D88"/>
    <w:rsid w:val="00A71F88"/>
    <w:rsid w:val="00A72249"/>
    <w:rsid w:val="00A724B8"/>
    <w:rsid w:val="00A724E0"/>
    <w:rsid w:val="00A7259C"/>
    <w:rsid w:val="00A726DA"/>
    <w:rsid w:val="00A727E9"/>
    <w:rsid w:val="00A727FC"/>
    <w:rsid w:val="00A72EEA"/>
    <w:rsid w:val="00A7314C"/>
    <w:rsid w:val="00A7363B"/>
    <w:rsid w:val="00A73F6E"/>
    <w:rsid w:val="00A73F9A"/>
    <w:rsid w:val="00A74A0B"/>
    <w:rsid w:val="00A74B3C"/>
    <w:rsid w:val="00A74D39"/>
    <w:rsid w:val="00A74DE3"/>
    <w:rsid w:val="00A74DF7"/>
    <w:rsid w:val="00A74FA5"/>
    <w:rsid w:val="00A75D54"/>
    <w:rsid w:val="00A75F67"/>
    <w:rsid w:val="00A76500"/>
    <w:rsid w:val="00A765BE"/>
    <w:rsid w:val="00A7698D"/>
    <w:rsid w:val="00A76ED6"/>
    <w:rsid w:val="00A778B5"/>
    <w:rsid w:val="00A77B41"/>
    <w:rsid w:val="00A77C4D"/>
    <w:rsid w:val="00A77F11"/>
    <w:rsid w:val="00A800AD"/>
    <w:rsid w:val="00A802CB"/>
    <w:rsid w:val="00A802F2"/>
    <w:rsid w:val="00A803E1"/>
    <w:rsid w:val="00A80834"/>
    <w:rsid w:val="00A8089D"/>
    <w:rsid w:val="00A809FA"/>
    <w:rsid w:val="00A80CB8"/>
    <w:rsid w:val="00A814B8"/>
    <w:rsid w:val="00A8158D"/>
    <w:rsid w:val="00A81B98"/>
    <w:rsid w:val="00A81BE0"/>
    <w:rsid w:val="00A82317"/>
    <w:rsid w:val="00A823BB"/>
    <w:rsid w:val="00A825BD"/>
    <w:rsid w:val="00A8301C"/>
    <w:rsid w:val="00A83039"/>
    <w:rsid w:val="00A837E5"/>
    <w:rsid w:val="00A83CA4"/>
    <w:rsid w:val="00A83F0E"/>
    <w:rsid w:val="00A83F80"/>
    <w:rsid w:val="00A844A5"/>
    <w:rsid w:val="00A84A82"/>
    <w:rsid w:val="00A84BA2"/>
    <w:rsid w:val="00A84CE1"/>
    <w:rsid w:val="00A84FC3"/>
    <w:rsid w:val="00A850E5"/>
    <w:rsid w:val="00A855F5"/>
    <w:rsid w:val="00A85A37"/>
    <w:rsid w:val="00A85F90"/>
    <w:rsid w:val="00A8636E"/>
    <w:rsid w:val="00A86426"/>
    <w:rsid w:val="00A8667E"/>
    <w:rsid w:val="00A866CA"/>
    <w:rsid w:val="00A866FD"/>
    <w:rsid w:val="00A867EB"/>
    <w:rsid w:val="00A86B43"/>
    <w:rsid w:val="00A86E16"/>
    <w:rsid w:val="00A8745F"/>
    <w:rsid w:val="00A903FE"/>
    <w:rsid w:val="00A90481"/>
    <w:rsid w:val="00A90642"/>
    <w:rsid w:val="00A909D8"/>
    <w:rsid w:val="00A90E7D"/>
    <w:rsid w:val="00A90F8A"/>
    <w:rsid w:val="00A91104"/>
    <w:rsid w:val="00A9123D"/>
    <w:rsid w:val="00A91699"/>
    <w:rsid w:val="00A91A7B"/>
    <w:rsid w:val="00A91F82"/>
    <w:rsid w:val="00A91FE1"/>
    <w:rsid w:val="00A92226"/>
    <w:rsid w:val="00A92641"/>
    <w:rsid w:val="00A9276F"/>
    <w:rsid w:val="00A92B36"/>
    <w:rsid w:val="00A93134"/>
    <w:rsid w:val="00A94017"/>
    <w:rsid w:val="00A942E1"/>
    <w:rsid w:val="00A944AF"/>
    <w:rsid w:val="00A94D2E"/>
    <w:rsid w:val="00A95014"/>
    <w:rsid w:val="00A9501C"/>
    <w:rsid w:val="00A95322"/>
    <w:rsid w:val="00A9560F"/>
    <w:rsid w:val="00A956D1"/>
    <w:rsid w:val="00A95AB8"/>
    <w:rsid w:val="00A95E25"/>
    <w:rsid w:val="00A9647A"/>
    <w:rsid w:val="00A97298"/>
    <w:rsid w:val="00A97301"/>
    <w:rsid w:val="00A974BF"/>
    <w:rsid w:val="00A97C90"/>
    <w:rsid w:val="00A97F4A"/>
    <w:rsid w:val="00A97F7D"/>
    <w:rsid w:val="00AA0758"/>
    <w:rsid w:val="00AA178F"/>
    <w:rsid w:val="00AA206E"/>
    <w:rsid w:val="00AA29E0"/>
    <w:rsid w:val="00AA2EF3"/>
    <w:rsid w:val="00AA316F"/>
    <w:rsid w:val="00AA32B7"/>
    <w:rsid w:val="00AA3EA0"/>
    <w:rsid w:val="00AA3F4A"/>
    <w:rsid w:val="00AA4176"/>
    <w:rsid w:val="00AA431F"/>
    <w:rsid w:val="00AA4836"/>
    <w:rsid w:val="00AA4D98"/>
    <w:rsid w:val="00AA51BE"/>
    <w:rsid w:val="00AA54AF"/>
    <w:rsid w:val="00AA557D"/>
    <w:rsid w:val="00AA5610"/>
    <w:rsid w:val="00AA5791"/>
    <w:rsid w:val="00AA5938"/>
    <w:rsid w:val="00AA5D5B"/>
    <w:rsid w:val="00AA5F13"/>
    <w:rsid w:val="00AA63AC"/>
    <w:rsid w:val="00AA6C57"/>
    <w:rsid w:val="00AA6F1F"/>
    <w:rsid w:val="00AA75D6"/>
    <w:rsid w:val="00AA76BC"/>
    <w:rsid w:val="00AA7C96"/>
    <w:rsid w:val="00AB0AD0"/>
    <w:rsid w:val="00AB0FD7"/>
    <w:rsid w:val="00AB104E"/>
    <w:rsid w:val="00AB15F2"/>
    <w:rsid w:val="00AB164A"/>
    <w:rsid w:val="00AB1D82"/>
    <w:rsid w:val="00AB232D"/>
    <w:rsid w:val="00AB235E"/>
    <w:rsid w:val="00AB23ED"/>
    <w:rsid w:val="00AB2581"/>
    <w:rsid w:val="00AB275C"/>
    <w:rsid w:val="00AB3927"/>
    <w:rsid w:val="00AB3ACD"/>
    <w:rsid w:val="00AB3BA5"/>
    <w:rsid w:val="00AB3EDD"/>
    <w:rsid w:val="00AB41F2"/>
    <w:rsid w:val="00AB44F4"/>
    <w:rsid w:val="00AB45B0"/>
    <w:rsid w:val="00AB462F"/>
    <w:rsid w:val="00AB46D7"/>
    <w:rsid w:val="00AB47AD"/>
    <w:rsid w:val="00AB57BA"/>
    <w:rsid w:val="00AB58D9"/>
    <w:rsid w:val="00AB59B7"/>
    <w:rsid w:val="00AB5A4D"/>
    <w:rsid w:val="00AB5FFD"/>
    <w:rsid w:val="00AB623B"/>
    <w:rsid w:val="00AB63FC"/>
    <w:rsid w:val="00AB6883"/>
    <w:rsid w:val="00AB6B70"/>
    <w:rsid w:val="00AB6EEB"/>
    <w:rsid w:val="00AB788C"/>
    <w:rsid w:val="00AB79E5"/>
    <w:rsid w:val="00AB7FAC"/>
    <w:rsid w:val="00AC032E"/>
    <w:rsid w:val="00AC046A"/>
    <w:rsid w:val="00AC1539"/>
    <w:rsid w:val="00AC15A7"/>
    <w:rsid w:val="00AC19C4"/>
    <w:rsid w:val="00AC1B8F"/>
    <w:rsid w:val="00AC1BDB"/>
    <w:rsid w:val="00AC1CB3"/>
    <w:rsid w:val="00AC1F11"/>
    <w:rsid w:val="00AC20C2"/>
    <w:rsid w:val="00AC20DA"/>
    <w:rsid w:val="00AC24D1"/>
    <w:rsid w:val="00AC28E2"/>
    <w:rsid w:val="00AC36A9"/>
    <w:rsid w:val="00AC39A0"/>
    <w:rsid w:val="00AC3A59"/>
    <w:rsid w:val="00AC3A7B"/>
    <w:rsid w:val="00AC3C42"/>
    <w:rsid w:val="00AC3C59"/>
    <w:rsid w:val="00AC3DC3"/>
    <w:rsid w:val="00AC40D1"/>
    <w:rsid w:val="00AC43A6"/>
    <w:rsid w:val="00AC4499"/>
    <w:rsid w:val="00AC4A50"/>
    <w:rsid w:val="00AC50A4"/>
    <w:rsid w:val="00AC590E"/>
    <w:rsid w:val="00AC5EBA"/>
    <w:rsid w:val="00AC6163"/>
    <w:rsid w:val="00AC63BE"/>
    <w:rsid w:val="00AC6A88"/>
    <w:rsid w:val="00AC6C8D"/>
    <w:rsid w:val="00AC6D6F"/>
    <w:rsid w:val="00AC74B1"/>
    <w:rsid w:val="00AC7AD8"/>
    <w:rsid w:val="00AC7F5F"/>
    <w:rsid w:val="00AD02BD"/>
    <w:rsid w:val="00AD06E1"/>
    <w:rsid w:val="00AD0750"/>
    <w:rsid w:val="00AD07E4"/>
    <w:rsid w:val="00AD07F7"/>
    <w:rsid w:val="00AD0DC1"/>
    <w:rsid w:val="00AD0F0B"/>
    <w:rsid w:val="00AD123D"/>
    <w:rsid w:val="00AD154B"/>
    <w:rsid w:val="00AD16FB"/>
    <w:rsid w:val="00AD19A0"/>
    <w:rsid w:val="00AD24C9"/>
    <w:rsid w:val="00AD2663"/>
    <w:rsid w:val="00AD2D59"/>
    <w:rsid w:val="00AD2E3A"/>
    <w:rsid w:val="00AD2F2C"/>
    <w:rsid w:val="00AD2FE9"/>
    <w:rsid w:val="00AD3291"/>
    <w:rsid w:val="00AD32D0"/>
    <w:rsid w:val="00AD3910"/>
    <w:rsid w:val="00AD3AFB"/>
    <w:rsid w:val="00AD3F5C"/>
    <w:rsid w:val="00AD4320"/>
    <w:rsid w:val="00AD4A67"/>
    <w:rsid w:val="00AD4BD5"/>
    <w:rsid w:val="00AD4F87"/>
    <w:rsid w:val="00AD5056"/>
    <w:rsid w:val="00AD5341"/>
    <w:rsid w:val="00AD5569"/>
    <w:rsid w:val="00AD5879"/>
    <w:rsid w:val="00AD592F"/>
    <w:rsid w:val="00AD5AE7"/>
    <w:rsid w:val="00AD5B18"/>
    <w:rsid w:val="00AD5C91"/>
    <w:rsid w:val="00AD5D42"/>
    <w:rsid w:val="00AD5F1A"/>
    <w:rsid w:val="00AD6EF5"/>
    <w:rsid w:val="00AD6F1F"/>
    <w:rsid w:val="00AD72B3"/>
    <w:rsid w:val="00AD77B7"/>
    <w:rsid w:val="00AD7B4C"/>
    <w:rsid w:val="00AE0123"/>
    <w:rsid w:val="00AE0279"/>
    <w:rsid w:val="00AE0381"/>
    <w:rsid w:val="00AE0449"/>
    <w:rsid w:val="00AE0A64"/>
    <w:rsid w:val="00AE1184"/>
    <w:rsid w:val="00AE130A"/>
    <w:rsid w:val="00AE1318"/>
    <w:rsid w:val="00AE1862"/>
    <w:rsid w:val="00AE1955"/>
    <w:rsid w:val="00AE1989"/>
    <w:rsid w:val="00AE1ACB"/>
    <w:rsid w:val="00AE1E6C"/>
    <w:rsid w:val="00AE206C"/>
    <w:rsid w:val="00AE233A"/>
    <w:rsid w:val="00AE23DB"/>
    <w:rsid w:val="00AE24C8"/>
    <w:rsid w:val="00AE282B"/>
    <w:rsid w:val="00AE2E72"/>
    <w:rsid w:val="00AE3049"/>
    <w:rsid w:val="00AE34D9"/>
    <w:rsid w:val="00AE39C1"/>
    <w:rsid w:val="00AE39D4"/>
    <w:rsid w:val="00AE402B"/>
    <w:rsid w:val="00AE43C1"/>
    <w:rsid w:val="00AE4F00"/>
    <w:rsid w:val="00AE4F5A"/>
    <w:rsid w:val="00AE4F9E"/>
    <w:rsid w:val="00AE50C5"/>
    <w:rsid w:val="00AE5658"/>
    <w:rsid w:val="00AE5900"/>
    <w:rsid w:val="00AE5B5A"/>
    <w:rsid w:val="00AE5E1C"/>
    <w:rsid w:val="00AE6503"/>
    <w:rsid w:val="00AE65C9"/>
    <w:rsid w:val="00AE7233"/>
    <w:rsid w:val="00AE7471"/>
    <w:rsid w:val="00AE762A"/>
    <w:rsid w:val="00AE78B3"/>
    <w:rsid w:val="00AE78F3"/>
    <w:rsid w:val="00AF022B"/>
    <w:rsid w:val="00AF053E"/>
    <w:rsid w:val="00AF05BA"/>
    <w:rsid w:val="00AF0C5A"/>
    <w:rsid w:val="00AF0E3D"/>
    <w:rsid w:val="00AF17FB"/>
    <w:rsid w:val="00AF193B"/>
    <w:rsid w:val="00AF1A1D"/>
    <w:rsid w:val="00AF1F10"/>
    <w:rsid w:val="00AF29C3"/>
    <w:rsid w:val="00AF2A2C"/>
    <w:rsid w:val="00AF2A56"/>
    <w:rsid w:val="00AF2A5B"/>
    <w:rsid w:val="00AF30B2"/>
    <w:rsid w:val="00AF318D"/>
    <w:rsid w:val="00AF350B"/>
    <w:rsid w:val="00AF36EF"/>
    <w:rsid w:val="00AF3AC2"/>
    <w:rsid w:val="00AF3E81"/>
    <w:rsid w:val="00AF3FE0"/>
    <w:rsid w:val="00AF43B5"/>
    <w:rsid w:val="00AF462B"/>
    <w:rsid w:val="00AF49B9"/>
    <w:rsid w:val="00AF4B46"/>
    <w:rsid w:val="00AF5521"/>
    <w:rsid w:val="00AF592A"/>
    <w:rsid w:val="00AF5B81"/>
    <w:rsid w:val="00AF5F5D"/>
    <w:rsid w:val="00AF61E1"/>
    <w:rsid w:val="00AF62D8"/>
    <w:rsid w:val="00AF645D"/>
    <w:rsid w:val="00AF6CBD"/>
    <w:rsid w:val="00AF6FF3"/>
    <w:rsid w:val="00AF737A"/>
    <w:rsid w:val="00AF7484"/>
    <w:rsid w:val="00AF756F"/>
    <w:rsid w:val="00AF75BF"/>
    <w:rsid w:val="00AF7A53"/>
    <w:rsid w:val="00AF7C17"/>
    <w:rsid w:val="00AF7C8A"/>
    <w:rsid w:val="00AF7E85"/>
    <w:rsid w:val="00B0010A"/>
    <w:rsid w:val="00B00283"/>
    <w:rsid w:val="00B00846"/>
    <w:rsid w:val="00B00A5D"/>
    <w:rsid w:val="00B00E3B"/>
    <w:rsid w:val="00B0138F"/>
    <w:rsid w:val="00B02150"/>
    <w:rsid w:val="00B023EA"/>
    <w:rsid w:val="00B02596"/>
    <w:rsid w:val="00B025BF"/>
    <w:rsid w:val="00B025C3"/>
    <w:rsid w:val="00B0263F"/>
    <w:rsid w:val="00B02744"/>
    <w:rsid w:val="00B027F9"/>
    <w:rsid w:val="00B02972"/>
    <w:rsid w:val="00B02E12"/>
    <w:rsid w:val="00B0313D"/>
    <w:rsid w:val="00B0337C"/>
    <w:rsid w:val="00B03ADE"/>
    <w:rsid w:val="00B03AE1"/>
    <w:rsid w:val="00B03F3D"/>
    <w:rsid w:val="00B049EC"/>
    <w:rsid w:val="00B049FD"/>
    <w:rsid w:val="00B04D78"/>
    <w:rsid w:val="00B05445"/>
    <w:rsid w:val="00B05848"/>
    <w:rsid w:val="00B0606F"/>
    <w:rsid w:val="00B06D17"/>
    <w:rsid w:val="00B07BA6"/>
    <w:rsid w:val="00B103AF"/>
    <w:rsid w:val="00B106C0"/>
    <w:rsid w:val="00B10B59"/>
    <w:rsid w:val="00B10ED5"/>
    <w:rsid w:val="00B110E7"/>
    <w:rsid w:val="00B1164F"/>
    <w:rsid w:val="00B117D0"/>
    <w:rsid w:val="00B11D5E"/>
    <w:rsid w:val="00B11F03"/>
    <w:rsid w:val="00B12332"/>
    <w:rsid w:val="00B1251B"/>
    <w:rsid w:val="00B1259D"/>
    <w:rsid w:val="00B12D27"/>
    <w:rsid w:val="00B12E16"/>
    <w:rsid w:val="00B13466"/>
    <w:rsid w:val="00B1367F"/>
    <w:rsid w:val="00B13E3C"/>
    <w:rsid w:val="00B13FC3"/>
    <w:rsid w:val="00B14035"/>
    <w:rsid w:val="00B142A3"/>
    <w:rsid w:val="00B143CF"/>
    <w:rsid w:val="00B14FC6"/>
    <w:rsid w:val="00B15997"/>
    <w:rsid w:val="00B16675"/>
    <w:rsid w:val="00B1674C"/>
    <w:rsid w:val="00B16871"/>
    <w:rsid w:val="00B16BA7"/>
    <w:rsid w:val="00B16CAC"/>
    <w:rsid w:val="00B16F55"/>
    <w:rsid w:val="00B17270"/>
    <w:rsid w:val="00B178B8"/>
    <w:rsid w:val="00B1793C"/>
    <w:rsid w:val="00B17AB3"/>
    <w:rsid w:val="00B17B67"/>
    <w:rsid w:val="00B202AA"/>
    <w:rsid w:val="00B20C92"/>
    <w:rsid w:val="00B20D0B"/>
    <w:rsid w:val="00B21810"/>
    <w:rsid w:val="00B2190C"/>
    <w:rsid w:val="00B22126"/>
    <w:rsid w:val="00B22411"/>
    <w:rsid w:val="00B22A40"/>
    <w:rsid w:val="00B22ACB"/>
    <w:rsid w:val="00B22FF9"/>
    <w:rsid w:val="00B23120"/>
    <w:rsid w:val="00B2338C"/>
    <w:rsid w:val="00B23D5F"/>
    <w:rsid w:val="00B241D5"/>
    <w:rsid w:val="00B247A6"/>
    <w:rsid w:val="00B24B61"/>
    <w:rsid w:val="00B24ED0"/>
    <w:rsid w:val="00B24F6E"/>
    <w:rsid w:val="00B2512D"/>
    <w:rsid w:val="00B25DBA"/>
    <w:rsid w:val="00B264BB"/>
    <w:rsid w:val="00B26A30"/>
    <w:rsid w:val="00B26F53"/>
    <w:rsid w:val="00B26F7E"/>
    <w:rsid w:val="00B2710A"/>
    <w:rsid w:val="00B27D1D"/>
    <w:rsid w:val="00B27D1F"/>
    <w:rsid w:val="00B27F00"/>
    <w:rsid w:val="00B3008C"/>
    <w:rsid w:val="00B3050D"/>
    <w:rsid w:val="00B3069A"/>
    <w:rsid w:val="00B3098B"/>
    <w:rsid w:val="00B3152C"/>
    <w:rsid w:val="00B31706"/>
    <w:rsid w:val="00B3184E"/>
    <w:rsid w:val="00B318CC"/>
    <w:rsid w:val="00B31B4C"/>
    <w:rsid w:val="00B31C1F"/>
    <w:rsid w:val="00B3240A"/>
    <w:rsid w:val="00B32584"/>
    <w:rsid w:val="00B32607"/>
    <w:rsid w:val="00B32A14"/>
    <w:rsid w:val="00B3336F"/>
    <w:rsid w:val="00B3352B"/>
    <w:rsid w:val="00B33DA1"/>
    <w:rsid w:val="00B33E48"/>
    <w:rsid w:val="00B3432C"/>
    <w:rsid w:val="00B3447B"/>
    <w:rsid w:val="00B34887"/>
    <w:rsid w:val="00B350EB"/>
    <w:rsid w:val="00B358C5"/>
    <w:rsid w:val="00B35EE7"/>
    <w:rsid w:val="00B366FE"/>
    <w:rsid w:val="00B36932"/>
    <w:rsid w:val="00B36B02"/>
    <w:rsid w:val="00B36B99"/>
    <w:rsid w:val="00B36D5D"/>
    <w:rsid w:val="00B36F35"/>
    <w:rsid w:val="00B3712B"/>
    <w:rsid w:val="00B37348"/>
    <w:rsid w:val="00B37652"/>
    <w:rsid w:val="00B378C9"/>
    <w:rsid w:val="00B37986"/>
    <w:rsid w:val="00B404FE"/>
    <w:rsid w:val="00B40C21"/>
    <w:rsid w:val="00B4117B"/>
    <w:rsid w:val="00B411A7"/>
    <w:rsid w:val="00B42466"/>
    <w:rsid w:val="00B4256B"/>
    <w:rsid w:val="00B42BFF"/>
    <w:rsid w:val="00B42D5E"/>
    <w:rsid w:val="00B42F58"/>
    <w:rsid w:val="00B432ED"/>
    <w:rsid w:val="00B43382"/>
    <w:rsid w:val="00B435CD"/>
    <w:rsid w:val="00B43671"/>
    <w:rsid w:val="00B43801"/>
    <w:rsid w:val="00B43A7D"/>
    <w:rsid w:val="00B43BAE"/>
    <w:rsid w:val="00B442B3"/>
    <w:rsid w:val="00B4436F"/>
    <w:rsid w:val="00B44429"/>
    <w:rsid w:val="00B444CD"/>
    <w:rsid w:val="00B44504"/>
    <w:rsid w:val="00B447DC"/>
    <w:rsid w:val="00B44917"/>
    <w:rsid w:val="00B44928"/>
    <w:rsid w:val="00B44CF3"/>
    <w:rsid w:val="00B44EB7"/>
    <w:rsid w:val="00B45062"/>
    <w:rsid w:val="00B453B2"/>
    <w:rsid w:val="00B45556"/>
    <w:rsid w:val="00B45ACC"/>
    <w:rsid w:val="00B45BC4"/>
    <w:rsid w:val="00B461DC"/>
    <w:rsid w:val="00B4648B"/>
    <w:rsid w:val="00B46624"/>
    <w:rsid w:val="00B46BB8"/>
    <w:rsid w:val="00B46EDA"/>
    <w:rsid w:val="00B470F7"/>
    <w:rsid w:val="00B4713E"/>
    <w:rsid w:val="00B473C5"/>
    <w:rsid w:val="00B47889"/>
    <w:rsid w:val="00B47DAB"/>
    <w:rsid w:val="00B47EA7"/>
    <w:rsid w:val="00B50297"/>
    <w:rsid w:val="00B5036E"/>
    <w:rsid w:val="00B503C5"/>
    <w:rsid w:val="00B5040F"/>
    <w:rsid w:val="00B50620"/>
    <w:rsid w:val="00B506B1"/>
    <w:rsid w:val="00B5083E"/>
    <w:rsid w:val="00B50A14"/>
    <w:rsid w:val="00B50B3E"/>
    <w:rsid w:val="00B50D44"/>
    <w:rsid w:val="00B50FD7"/>
    <w:rsid w:val="00B51308"/>
    <w:rsid w:val="00B513D8"/>
    <w:rsid w:val="00B515BE"/>
    <w:rsid w:val="00B51ABE"/>
    <w:rsid w:val="00B52114"/>
    <w:rsid w:val="00B521FD"/>
    <w:rsid w:val="00B52CE5"/>
    <w:rsid w:val="00B5384C"/>
    <w:rsid w:val="00B53997"/>
    <w:rsid w:val="00B53A14"/>
    <w:rsid w:val="00B53B2B"/>
    <w:rsid w:val="00B53F7C"/>
    <w:rsid w:val="00B54C64"/>
    <w:rsid w:val="00B550D2"/>
    <w:rsid w:val="00B55768"/>
    <w:rsid w:val="00B55BB9"/>
    <w:rsid w:val="00B55FF0"/>
    <w:rsid w:val="00B56188"/>
    <w:rsid w:val="00B56293"/>
    <w:rsid w:val="00B56397"/>
    <w:rsid w:val="00B56EE0"/>
    <w:rsid w:val="00B56F36"/>
    <w:rsid w:val="00B56F58"/>
    <w:rsid w:val="00B572E8"/>
    <w:rsid w:val="00B575E4"/>
    <w:rsid w:val="00B576D4"/>
    <w:rsid w:val="00B579E1"/>
    <w:rsid w:val="00B57E40"/>
    <w:rsid w:val="00B57F87"/>
    <w:rsid w:val="00B60591"/>
    <w:rsid w:val="00B605A8"/>
    <w:rsid w:val="00B606B7"/>
    <w:rsid w:val="00B608F2"/>
    <w:rsid w:val="00B6091D"/>
    <w:rsid w:val="00B60B9B"/>
    <w:rsid w:val="00B60D6B"/>
    <w:rsid w:val="00B60E0D"/>
    <w:rsid w:val="00B612C9"/>
    <w:rsid w:val="00B612F1"/>
    <w:rsid w:val="00B6142A"/>
    <w:rsid w:val="00B615EA"/>
    <w:rsid w:val="00B61947"/>
    <w:rsid w:val="00B61DF4"/>
    <w:rsid w:val="00B61E4C"/>
    <w:rsid w:val="00B6217D"/>
    <w:rsid w:val="00B6286C"/>
    <w:rsid w:val="00B62BB7"/>
    <w:rsid w:val="00B631CF"/>
    <w:rsid w:val="00B633FD"/>
    <w:rsid w:val="00B634F7"/>
    <w:rsid w:val="00B635E7"/>
    <w:rsid w:val="00B63660"/>
    <w:rsid w:val="00B63E6A"/>
    <w:rsid w:val="00B6422A"/>
    <w:rsid w:val="00B6438D"/>
    <w:rsid w:val="00B64B7B"/>
    <w:rsid w:val="00B6579A"/>
    <w:rsid w:val="00B661C2"/>
    <w:rsid w:val="00B664BE"/>
    <w:rsid w:val="00B66922"/>
    <w:rsid w:val="00B66D81"/>
    <w:rsid w:val="00B670D8"/>
    <w:rsid w:val="00B671D9"/>
    <w:rsid w:val="00B67678"/>
    <w:rsid w:val="00B67796"/>
    <w:rsid w:val="00B7039A"/>
    <w:rsid w:val="00B70558"/>
    <w:rsid w:val="00B70834"/>
    <w:rsid w:val="00B7126C"/>
    <w:rsid w:val="00B71879"/>
    <w:rsid w:val="00B719FA"/>
    <w:rsid w:val="00B720D5"/>
    <w:rsid w:val="00B724A4"/>
    <w:rsid w:val="00B726E6"/>
    <w:rsid w:val="00B72735"/>
    <w:rsid w:val="00B727A4"/>
    <w:rsid w:val="00B72820"/>
    <w:rsid w:val="00B728AD"/>
    <w:rsid w:val="00B728D4"/>
    <w:rsid w:val="00B72AEE"/>
    <w:rsid w:val="00B72C12"/>
    <w:rsid w:val="00B72F8D"/>
    <w:rsid w:val="00B730EA"/>
    <w:rsid w:val="00B74780"/>
    <w:rsid w:val="00B7498A"/>
    <w:rsid w:val="00B749BC"/>
    <w:rsid w:val="00B74AFF"/>
    <w:rsid w:val="00B74B95"/>
    <w:rsid w:val="00B74C76"/>
    <w:rsid w:val="00B7509B"/>
    <w:rsid w:val="00B75506"/>
    <w:rsid w:val="00B758FA"/>
    <w:rsid w:val="00B76746"/>
    <w:rsid w:val="00B768C5"/>
    <w:rsid w:val="00B76B94"/>
    <w:rsid w:val="00B773D8"/>
    <w:rsid w:val="00B77CAA"/>
    <w:rsid w:val="00B80091"/>
    <w:rsid w:val="00B8030C"/>
    <w:rsid w:val="00B80648"/>
    <w:rsid w:val="00B80A03"/>
    <w:rsid w:val="00B80C20"/>
    <w:rsid w:val="00B811AD"/>
    <w:rsid w:val="00B81383"/>
    <w:rsid w:val="00B81550"/>
    <w:rsid w:val="00B8177B"/>
    <w:rsid w:val="00B81862"/>
    <w:rsid w:val="00B8186E"/>
    <w:rsid w:val="00B81D91"/>
    <w:rsid w:val="00B81D9C"/>
    <w:rsid w:val="00B8209E"/>
    <w:rsid w:val="00B821C0"/>
    <w:rsid w:val="00B82840"/>
    <w:rsid w:val="00B82DC0"/>
    <w:rsid w:val="00B82E11"/>
    <w:rsid w:val="00B82FE1"/>
    <w:rsid w:val="00B8322F"/>
    <w:rsid w:val="00B835CF"/>
    <w:rsid w:val="00B842E4"/>
    <w:rsid w:val="00B84D17"/>
    <w:rsid w:val="00B84F92"/>
    <w:rsid w:val="00B8517F"/>
    <w:rsid w:val="00B854CE"/>
    <w:rsid w:val="00B85A22"/>
    <w:rsid w:val="00B85AF1"/>
    <w:rsid w:val="00B85C93"/>
    <w:rsid w:val="00B863A1"/>
    <w:rsid w:val="00B86DE7"/>
    <w:rsid w:val="00B87013"/>
    <w:rsid w:val="00B87301"/>
    <w:rsid w:val="00B874BA"/>
    <w:rsid w:val="00B87DF3"/>
    <w:rsid w:val="00B90198"/>
    <w:rsid w:val="00B90604"/>
    <w:rsid w:val="00B90944"/>
    <w:rsid w:val="00B91370"/>
    <w:rsid w:val="00B913CD"/>
    <w:rsid w:val="00B9164F"/>
    <w:rsid w:val="00B9167D"/>
    <w:rsid w:val="00B919D1"/>
    <w:rsid w:val="00B9210D"/>
    <w:rsid w:val="00B92AA4"/>
    <w:rsid w:val="00B92BB3"/>
    <w:rsid w:val="00B9328E"/>
    <w:rsid w:val="00B934D9"/>
    <w:rsid w:val="00B936FE"/>
    <w:rsid w:val="00B93935"/>
    <w:rsid w:val="00B93D9A"/>
    <w:rsid w:val="00B93DA4"/>
    <w:rsid w:val="00B940C5"/>
    <w:rsid w:val="00B945B7"/>
    <w:rsid w:val="00B94A81"/>
    <w:rsid w:val="00B94D32"/>
    <w:rsid w:val="00B95644"/>
    <w:rsid w:val="00B956B9"/>
    <w:rsid w:val="00B95B1B"/>
    <w:rsid w:val="00B95BD0"/>
    <w:rsid w:val="00B96251"/>
    <w:rsid w:val="00B96319"/>
    <w:rsid w:val="00B964FA"/>
    <w:rsid w:val="00B968EF"/>
    <w:rsid w:val="00B970D4"/>
    <w:rsid w:val="00B97229"/>
    <w:rsid w:val="00B973E7"/>
    <w:rsid w:val="00B973F9"/>
    <w:rsid w:val="00B975B4"/>
    <w:rsid w:val="00B97A66"/>
    <w:rsid w:val="00B97BC3"/>
    <w:rsid w:val="00BA0013"/>
    <w:rsid w:val="00BA0083"/>
    <w:rsid w:val="00BA0327"/>
    <w:rsid w:val="00BA0713"/>
    <w:rsid w:val="00BA0B35"/>
    <w:rsid w:val="00BA0C21"/>
    <w:rsid w:val="00BA0CB8"/>
    <w:rsid w:val="00BA0D7A"/>
    <w:rsid w:val="00BA1134"/>
    <w:rsid w:val="00BA202E"/>
    <w:rsid w:val="00BA20C8"/>
    <w:rsid w:val="00BA21BA"/>
    <w:rsid w:val="00BA22A7"/>
    <w:rsid w:val="00BA22A8"/>
    <w:rsid w:val="00BA2753"/>
    <w:rsid w:val="00BA277E"/>
    <w:rsid w:val="00BA299B"/>
    <w:rsid w:val="00BA305E"/>
    <w:rsid w:val="00BA33F9"/>
    <w:rsid w:val="00BA3ED9"/>
    <w:rsid w:val="00BA4545"/>
    <w:rsid w:val="00BA47D8"/>
    <w:rsid w:val="00BA492A"/>
    <w:rsid w:val="00BA4D0E"/>
    <w:rsid w:val="00BA5237"/>
    <w:rsid w:val="00BA5353"/>
    <w:rsid w:val="00BA5394"/>
    <w:rsid w:val="00BA5507"/>
    <w:rsid w:val="00BA625D"/>
    <w:rsid w:val="00BA62E9"/>
    <w:rsid w:val="00BA6306"/>
    <w:rsid w:val="00BA6453"/>
    <w:rsid w:val="00BA6B49"/>
    <w:rsid w:val="00BA6BB6"/>
    <w:rsid w:val="00BA7253"/>
    <w:rsid w:val="00BA73F0"/>
    <w:rsid w:val="00BA7623"/>
    <w:rsid w:val="00BA783C"/>
    <w:rsid w:val="00BA7F01"/>
    <w:rsid w:val="00BB069A"/>
    <w:rsid w:val="00BB06E5"/>
    <w:rsid w:val="00BB090B"/>
    <w:rsid w:val="00BB0A6D"/>
    <w:rsid w:val="00BB0D92"/>
    <w:rsid w:val="00BB1438"/>
    <w:rsid w:val="00BB161D"/>
    <w:rsid w:val="00BB18B6"/>
    <w:rsid w:val="00BB1BC9"/>
    <w:rsid w:val="00BB1FD0"/>
    <w:rsid w:val="00BB21CC"/>
    <w:rsid w:val="00BB293D"/>
    <w:rsid w:val="00BB2AD2"/>
    <w:rsid w:val="00BB2BF9"/>
    <w:rsid w:val="00BB352D"/>
    <w:rsid w:val="00BB3D10"/>
    <w:rsid w:val="00BB4850"/>
    <w:rsid w:val="00BB497D"/>
    <w:rsid w:val="00BB4B1F"/>
    <w:rsid w:val="00BB4D7F"/>
    <w:rsid w:val="00BB4D80"/>
    <w:rsid w:val="00BB4EC3"/>
    <w:rsid w:val="00BB4FA7"/>
    <w:rsid w:val="00BB50F6"/>
    <w:rsid w:val="00BB5862"/>
    <w:rsid w:val="00BB59C9"/>
    <w:rsid w:val="00BB6919"/>
    <w:rsid w:val="00BB6A67"/>
    <w:rsid w:val="00BB7218"/>
    <w:rsid w:val="00BB72C8"/>
    <w:rsid w:val="00BB73CA"/>
    <w:rsid w:val="00BB7765"/>
    <w:rsid w:val="00BB7BD0"/>
    <w:rsid w:val="00BC01C9"/>
    <w:rsid w:val="00BC021A"/>
    <w:rsid w:val="00BC047D"/>
    <w:rsid w:val="00BC059B"/>
    <w:rsid w:val="00BC0CE2"/>
    <w:rsid w:val="00BC0E26"/>
    <w:rsid w:val="00BC0FE0"/>
    <w:rsid w:val="00BC10DA"/>
    <w:rsid w:val="00BC1200"/>
    <w:rsid w:val="00BC12DB"/>
    <w:rsid w:val="00BC14BA"/>
    <w:rsid w:val="00BC174F"/>
    <w:rsid w:val="00BC1A27"/>
    <w:rsid w:val="00BC1BB9"/>
    <w:rsid w:val="00BC1CD7"/>
    <w:rsid w:val="00BC1E1F"/>
    <w:rsid w:val="00BC211D"/>
    <w:rsid w:val="00BC2277"/>
    <w:rsid w:val="00BC22A8"/>
    <w:rsid w:val="00BC23A2"/>
    <w:rsid w:val="00BC25E6"/>
    <w:rsid w:val="00BC270B"/>
    <w:rsid w:val="00BC2B86"/>
    <w:rsid w:val="00BC331D"/>
    <w:rsid w:val="00BC3E55"/>
    <w:rsid w:val="00BC42BD"/>
    <w:rsid w:val="00BC458B"/>
    <w:rsid w:val="00BC46AD"/>
    <w:rsid w:val="00BC46E1"/>
    <w:rsid w:val="00BC488B"/>
    <w:rsid w:val="00BC497E"/>
    <w:rsid w:val="00BC4E7C"/>
    <w:rsid w:val="00BC50A7"/>
    <w:rsid w:val="00BC5499"/>
    <w:rsid w:val="00BC55A1"/>
    <w:rsid w:val="00BC55E6"/>
    <w:rsid w:val="00BC56F4"/>
    <w:rsid w:val="00BC5C6D"/>
    <w:rsid w:val="00BC5C6E"/>
    <w:rsid w:val="00BC5DD7"/>
    <w:rsid w:val="00BC6C69"/>
    <w:rsid w:val="00BC6EA6"/>
    <w:rsid w:val="00BC6F23"/>
    <w:rsid w:val="00BC72DC"/>
    <w:rsid w:val="00BC7450"/>
    <w:rsid w:val="00BC74A8"/>
    <w:rsid w:val="00BD0194"/>
    <w:rsid w:val="00BD02BB"/>
    <w:rsid w:val="00BD040B"/>
    <w:rsid w:val="00BD07BD"/>
    <w:rsid w:val="00BD0997"/>
    <w:rsid w:val="00BD0A2D"/>
    <w:rsid w:val="00BD0C41"/>
    <w:rsid w:val="00BD1296"/>
    <w:rsid w:val="00BD150C"/>
    <w:rsid w:val="00BD15D6"/>
    <w:rsid w:val="00BD1644"/>
    <w:rsid w:val="00BD1806"/>
    <w:rsid w:val="00BD1CEB"/>
    <w:rsid w:val="00BD1E55"/>
    <w:rsid w:val="00BD1FE5"/>
    <w:rsid w:val="00BD21CD"/>
    <w:rsid w:val="00BD22B0"/>
    <w:rsid w:val="00BD23E6"/>
    <w:rsid w:val="00BD25DD"/>
    <w:rsid w:val="00BD2A6D"/>
    <w:rsid w:val="00BD39B6"/>
    <w:rsid w:val="00BD3CFA"/>
    <w:rsid w:val="00BD3E15"/>
    <w:rsid w:val="00BD3F54"/>
    <w:rsid w:val="00BD42D9"/>
    <w:rsid w:val="00BD4E11"/>
    <w:rsid w:val="00BD4E2A"/>
    <w:rsid w:val="00BD524D"/>
    <w:rsid w:val="00BD536B"/>
    <w:rsid w:val="00BD5AF6"/>
    <w:rsid w:val="00BD62AD"/>
    <w:rsid w:val="00BD6AF4"/>
    <w:rsid w:val="00BD6C02"/>
    <w:rsid w:val="00BD730E"/>
    <w:rsid w:val="00BD76DC"/>
    <w:rsid w:val="00BD77C8"/>
    <w:rsid w:val="00BD77D9"/>
    <w:rsid w:val="00BD7AC0"/>
    <w:rsid w:val="00BD7D46"/>
    <w:rsid w:val="00BD7DAE"/>
    <w:rsid w:val="00BE0156"/>
    <w:rsid w:val="00BE02C3"/>
    <w:rsid w:val="00BE02CA"/>
    <w:rsid w:val="00BE0356"/>
    <w:rsid w:val="00BE0751"/>
    <w:rsid w:val="00BE081A"/>
    <w:rsid w:val="00BE0892"/>
    <w:rsid w:val="00BE090E"/>
    <w:rsid w:val="00BE0AEC"/>
    <w:rsid w:val="00BE0F49"/>
    <w:rsid w:val="00BE11B5"/>
    <w:rsid w:val="00BE1230"/>
    <w:rsid w:val="00BE1E67"/>
    <w:rsid w:val="00BE2399"/>
    <w:rsid w:val="00BE3683"/>
    <w:rsid w:val="00BE4218"/>
    <w:rsid w:val="00BE46E0"/>
    <w:rsid w:val="00BE5068"/>
    <w:rsid w:val="00BE5B80"/>
    <w:rsid w:val="00BE5F3E"/>
    <w:rsid w:val="00BE6137"/>
    <w:rsid w:val="00BE6219"/>
    <w:rsid w:val="00BE64D3"/>
    <w:rsid w:val="00BE64DA"/>
    <w:rsid w:val="00BE65D7"/>
    <w:rsid w:val="00BE6908"/>
    <w:rsid w:val="00BE6F09"/>
    <w:rsid w:val="00BE7764"/>
    <w:rsid w:val="00BE78A8"/>
    <w:rsid w:val="00BE7982"/>
    <w:rsid w:val="00BE7AD2"/>
    <w:rsid w:val="00BE7E28"/>
    <w:rsid w:val="00BF00C6"/>
    <w:rsid w:val="00BF0183"/>
    <w:rsid w:val="00BF01CE"/>
    <w:rsid w:val="00BF0B20"/>
    <w:rsid w:val="00BF0E24"/>
    <w:rsid w:val="00BF0FCD"/>
    <w:rsid w:val="00BF11BE"/>
    <w:rsid w:val="00BF121C"/>
    <w:rsid w:val="00BF129B"/>
    <w:rsid w:val="00BF17BE"/>
    <w:rsid w:val="00BF1A40"/>
    <w:rsid w:val="00BF1F9E"/>
    <w:rsid w:val="00BF213C"/>
    <w:rsid w:val="00BF218B"/>
    <w:rsid w:val="00BF2191"/>
    <w:rsid w:val="00BF2356"/>
    <w:rsid w:val="00BF2542"/>
    <w:rsid w:val="00BF2A16"/>
    <w:rsid w:val="00BF2A3E"/>
    <w:rsid w:val="00BF2E61"/>
    <w:rsid w:val="00BF3517"/>
    <w:rsid w:val="00BF36E0"/>
    <w:rsid w:val="00BF4609"/>
    <w:rsid w:val="00BF4C4F"/>
    <w:rsid w:val="00BF532E"/>
    <w:rsid w:val="00BF578B"/>
    <w:rsid w:val="00BF5C7E"/>
    <w:rsid w:val="00BF5F72"/>
    <w:rsid w:val="00BF6356"/>
    <w:rsid w:val="00BF64DB"/>
    <w:rsid w:val="00BF697E"/>
    <w:rsid w:val="00BF6A09"/>
    <w:rsid w:val="00BF6F0F"/>
    <w:rsid w:val="00BF6FF7"/>
    <w:rsid w:val="00BF75F1"/>
    <w:rsid w:val="00BF7717"/>
    <w:rsid w:val="00BF774C"/>
    <w:rsid w:val="00BF7DB0"/>
    <w:rsid w:val="00C0016F"/>
    <w:rsid w:val="00C005D8"/>
    <w:rsid w:val="00C00654"/>
    <w:rsid w:val="00C006D3"/>
    <w:rsid w:val="00C006DF"/>
    <w:rsid w:val="00C00C4F"/>
    <w:rsid w:val="00C01051"/>
    <w:rsid w:val="00C0156C"/>
    <w:rsid w:val="00C016D7"/>
    <w:rsid w:val="00C01CB9"/>
    <w:rsid w:val="00C01DC2"/>
    <w:rsid w:val="00C01E55"/>
    <w:rsid w:val="00C01F92"/>
    <w:rsid w:val="00C0275A"/>
    <w:rsid w:val="00C0278D"/>
    <w:rsid w:val="00C028A3"/>
    <w:rsid w:val="00C029F1"/>
    <w:rsid w:val="00C02C61"/>
    <w:rsid w:val="00C02E3A"/>
    <w:rsid w:val="00C02E83"/>
    <w:rsid w:val="00C0361B"/>
    <w:rsid w:val="00C0368B"/>
    <w:rsid w:val="00C039B0"/>
    <w:rsid w:val="00C040BA"/>
    <w:rsid w:val="00C054B9"/>
    <w:rsid w:val="00C062A7"/>
    <w:rsid w:val="00C0690D"/>
    <w:rsid w:val="00C06977"/>
    <w:rsid w:val="00C069AE"/>
    <w:rsid w:val="00C07315"/>
    <w:rsid w:val="00C0782E"/>
    <w:rsid w:val="00C0799D"/>
    <w:rsid w:val="00C07A57"/>
    <w:rsid w:val="00C07A89"/>
    <w:rsid w:val="00C07AE0"/>
    <w:rsid w:val="00C07C0D"/>
    <w:rsid w:val="00C1058B"/>
    <w:rsid w:val="00C10756"/>
    <w:rsid w:val="00C109C0"/>
    <w:rsid w:val="00C10A99"/>
    <w:rsid w:val="00C1122E"/>
    <w:rsid w:val="00C11277"/>
    <w:rsid w:val="00C11DDD"/>
    <w:rsid w:val="00C11E44"/>
    <w:rsid w:val="00C11EBC"/>
    <w:rsid w:val="00C12119"/>
    <w:rsid w:val="00C12209"/>
    <w:rsid w:val="00C12A6C"/>
    <w:rsid w:val="00C12F15"/>
    <w:rsid w:val="00C1367E"/>
    <w:rsid w:val="00C13A8A"/>
    <w:rsid w:val="00C13CE2"/>
    <w:rsid w:val="00C13D68"/>
    <w:rsid w:val="00C14130"/>
    <w:rsid w:val="00C14173"/>
    <w:rsid w:val="00C142C1"/>
    <w:rsid w:val="00C1441B"/>
    <w:rsid w:val="00C14893"/>
    <w:rsid w:val="00C14B29"/>
    <w:rsid w:val="00C14CC8"/>
    <w:rsid w:val="00C14EC3"/>
    <w:rsid w:val="00C15005"/>
    <w:rsid w:val="00C1512A"/>
    <w:rsid w:val="00C1539A"/>
    <w:rsid w:val="00C1557E"/>
    <w:rsid w:val="00C15720"/>
    <w:rsid w:val="00C15935"/>
    <w:rsid w:val="00C16059"/>
    <w:rsid w:val="00C16337"/>
    <w:rsid w:val="00C1635A"/>
    <w:rsid w:val="00C16375"/>
    <w:rsid w:val="00C16F04"/>
    <w:rsid w:val="00C17429"/>
    <w:rsid w:val="00C17B11"/>
    <w:rsid w:val="00C17D95"/>
    <w:rsid w:val="00C17D96"/>
    <w:rsid w:val="00C17E6F"/>
    <w:rsid w:val="00C17E8D"/>
    <w:rsid w:val="00C17F83"/>
    <w:rsid w:val="00C17FAA"/>
    <w:rsid w:val="00C206EC"/>
    <w:rsid w:val="00C20B43"/>
    <w:rsid w:val="00C20C84"/>
    <w:rsid w:val="00C213E2"/>
    <w:rsid w:val="00C2159A"/>
    <w:rsid w:val="00C218F9"/>
    <w:rsid w:val="00C21A1F"/>
    <w:rsid w:val="00C21A83"/>
    <w:rsid w:val="00C21D99"/>
    <w:rsid w:val="00C220CA"/>
    <w:rsid w:val="00C2227E"/>
    <w:rsid w:val="00C22335"/>
    <w:rsid w:val="00C2234C"/>
    <w:rsid w:val="00C223E4"/>
    <w:rsid w:val="00C22605"/>
    <w:rsid w:val="00C229E1"/>
    <w:rsid w:val="00C22EA5"/>
    <w:rsid w:val="00C22FB3"/>
    <w:rsid w:val="00C239B4"/>
    <w:rsid w:val="00C23A8E"/>
    <w:rsid w:val="00C23AD6"/>
    <w:rsid w:val="00C23B45"/>
    <w:rsid w:val="00C23E2B"/>
    <w:rsid w:val="00C241B7"/>
    <w:rsid w:val="00C2453C"/>
    <w:rsid w:val="00C24EE2"/>
    <w:rsid w:val="00C24F7D"/>
    <w:rsid w:val="00C250E8"/>
    <w:rsid w:val="00C25266"/>
    <w:rsid w:val="00C25AEA"/>
    <w:rsid w:val="00C25D7A"/>
    <w:rsid w:val="00C2664B"/>
    <w:rsid w:val="00C266CB"/>
    <w:rsid w:val="00C26C11"/>
    <w:rsid w:val="00C26EA6"/>
    <w:rsid w:val="00C2700E"/>
    <w:rsid w:val="00C27104"/>
    <w:rsid w:val="00C27BE2"/>
    <w:rsid w:val="00C303A4"/>
    <w:rsid w:val="00C30D96"/>
    <w:rsid w:val="00C30E9D"/>
    <w:rsid w:val="00C3193F"/>
    <w:rsid w:val="00C32D65"/>
    <w:rsid w:val="00C32E0C"/>
    <w:rsid w:val="00C3312A"/>
    <w:rsid w:val="00C334CE"/>
    <w:rsid w:val="00C33523"/>
    <w:rsid w:val="00C336C4"/>
    <w:rsid w:val="00C336EF"/>
    <w:rsid w:val="00C33B8B"/>
    <w:rsid w:val="00C33BE9"/>
    <w:rsid w:val="00C34645"/>
    <w:rsid w:val="00C34A5F"/>
    <w:rsid w:val="00C34DA0"/>
    <w:rsid w:val="00C3502B"/>
    <w:rsid w:val="00C35052"/>
    <w:rsid w:val="00C35313"/>
    <w:rsid w:val="00C359A0"/>
    <w:rsid w:val="00C35F2B"/>
    <w:rsid w:val="00C36A4C"/>
    <w:rsid w:val="00C36BED"/>
    <w:rsid w:val="00C36CF6"/>
    <w:rsid w:val="00C36CF8"/>
    <w:rsid w:val="00C3705E"/>
    <w:rsid w:val="00C377BC"/>
    <w:rsid w:val="00C37C23"/>
    <w:rsid w:val="00C4008D"/>
    <w:rsid w:val="00C40840"/>
    <w:rsid w:val="00C4120E"/>
    <w:rsid w:val="00C417BE"/>
    <w:rsid w:val="00C4215B"/>
    <w:rsid w:val="00C42C60"/>
    <w:rsid w:val="00C42F65"/>
    <w:rsid w:val="00C437EA"/>
    <w:rsid w:val="00C43A01"/>
    <w:rsid w:val="00C4420D"/>
    <w:rsid w:val="00C444C3"/>
    <w:rsid w:val="00C44BD7"/>
    <w:rsid w:val="00C44C9F"/>
    <w:rsid w:val="00C44CB0"/>
    <w:rsid w:val="00C452C1"/>
    <w:rsid w:val="00C454FC"/>
    <w:rsid w:val="00C457A0"/>
    <w:rsid w:val="00C45E12"/>
    <w:rsid w:val="00C4614D"/>
    <w:rsid w:val="00C46852"/>
    <w:rsid w:val="00C46B74"/>
    <w:rsid w:val="00C46D46"/>
    <w:rsid w:val="00C474E8"/>
    <w:rsid w:val="00C475C5"/>
    <w:rsid w:val="00C47604"/>
    <w:rsid w:val="00C47774"/>
    <w:rsid w:val="00C478D3"/>
    <w:rsid w:val="00C47C0D"/>
    <w:rsid w:val="00C47CEF"/>
    <w:rsid w:val="00C50485"/>
    <w:rsid w:val="00C50AAD"/>
    <w:rsid w:val="00C50F22"/>
    <w:rsid w:val="00C51035"/>
    <w:rsid w:val="00C5116F"/>
    <w:rsid w:val="00C51178"/>
    <w:rsid w:val="00C511E6"/>
    <w:rsid w:val="00C517C5"/>
    <w:rsid w:val="00C51D29"/>
    <w:rsid w:val="00C51FE6"/>
    <w:rsid w:val="00C52552"/>
    <w:rsid w:val="00C52762"/>
    <w:rsid w:val="00C52779"/>
    <w:rsid w:val="00C527D9"/>
    <w:rsid w:val="00C52A11"/>
    <w:rsid w:val="00C52B0F"/>
    <w:rsid w:val="00C52F90"/>
    <w:rsid w:val="00C5365A"/>
    <w:rsid w:val="00C53780"/>
    <w:rsid w:val="00C53817"/>
    <w:rsid w:val="00C54579"/>
    <w:rsid w:val="00C54CBC"/>
    <w:rsid w:val="00C54DBF"/>
    <w:rsid w:val="00C5539F"/>
    <w:rsid w:val="00C5580C"/>
    <w:rsid w:val="00C559D8"/>
    <w:rsid w:val="00C55D33"/>
    <w:rsid w:val="00C55FC1"/>
    <w:rsid w:val="00C56436"/>
    <w:rsid w:val="00C56930"/>
    <w:rsid w:val="00C56E00"/>
    <w:rsid w:val="00C57962"/>
    <w:rsid w:val="00C604AF"/>
    <w:rsid w:val="00C606CB"/>
    <w:rsid w:val="00C60C26"/>
    <w:rsid w:val="00C611D9"/>
    <w:rsid w:val="00C6193D"/>
    <w:rsid w:val="00C619D6"/>
    <w:rsid w:val="00C61A09"/>
    <w:rsid w:val="00C61BCA"/>
    <w:rsid w:val="00C61C69"/>
    <w:rsid w:val="00C61D5C"/>
    <w:rsid w:val="00C6210A"/>
    <w:rsid w:val="00C62122"/>
    <w:rsid w:val="00C623C4"/>
    <w:rsid w:val="00C6271A"/>
    <w:rsid w:val="00C6281E"/>
    <w:rsid w:val="00C628D0"/>
    <w:rsid w:val="00C631AA"/>
    <w:rsid w:val="00C631FF"/>
    <w:rsid w:val="00C638C3"/>
    <w:rsid w:val="00C639FF"/>
    <w:rsid w:val="00C63BBB"/>
    <w:rsid w:val="00C63D6A"/>
    <w:rsid w:val="00C63E0B"/>
    <w:rsid w:val="00C64A98"/>
    <w:rsid w:val="00C656E7"/>
    <w:rsid w:val="00C6589C"/>
    <w:rsid w:val="00C65C1D"/>
    <w:rsid w:val="00C66767"/>
    <w:rsid w:val="00C66D5A"/>
    <w:rsid w:val="00C67067"/>
    <w:rsid w:val="00C670BE"/>
    <w:rsid w:val="00C6713E"/>
    <w:rsid w:val="00C67755"/>
    <w:rsid w:val="00C679F0"/>
    <w:rsid w:val="00C67B27"/>
    <w:rsid w:val="00C67E62"/>
    <w:rsid w:val="00C67F5B"/>
    <w:rsid w:val="00C70080"/>
    <w:rsid w:val="00C706DE"/>
    <w:rsid w:val="00C70F4F"/>
    <w:rsid w:val="00C71063"/>
    <w:rsid w:val="00C71368"/>
    <w:rsid w:val="00C7139A"/>
    <w:rsid w:val="00C72044"/>
    <w:rsid w:val="00C72551"/>
    <w:rsid w:val="00C72689"/>
    <w:rsid w:val="00C726E9"/>
    <w:rsid w:val="00C726F0"/>
    <w:rsid w:val="00C727AF"/>
    <w:rsid w:val="00C72D05"/>
    <w:rsid w:val="00C72D9C"/>
    <w:rsid w:val="00C732FD"/>
    <w:rsid w:val="00C73BD8"/>
    <w:rsid w:val="00C73E3A"/>
    <w:rsid w:val="00C74362"/>
    <w:rsid w:val="00C74478"/>
    <w:rsid w:val="00C744EE"/>
    <w:rsid w:val="00C74A45"/>
    <w:rsid w:val="00C7516C"/>
    <w:rsid w:val="00C75237"/>
    <w:rsid w:val="00C7523E"/>
    <w:rsid w:val="00C7670A"/>
    <w:rsid w:val="00C76957"/>
    <w:rsid w:val="00C76C56"/>
    <w:rsid w:val="00C771FF"/>
    <w:rsid w:val="00C77566"/>
    <w:rsid w:val="00C77A8F"/>
    <w:rsid w:val="00C77F9C"/>
    <w:rsid w:val="00C804F1"/>
    <w:rsid w:val="00C80955"/>
    <w:rsid w:val="00C80A3A"/>
    <w:rsid w:val="00C81249"/>
    <w:rsid w:val="00C81ACC"/>
    <w:rsid w:val="00C822D7"/>
    <w:rsid w:val="00C825AB"/>
    <w:rsid w:val="00C82DAD"/>
    <w:rsid w:val="00C82E6C"/>
    <w:rsid w:val="00C82F10"/>
    <w:rsid w:val="00C83443"/>
    <w:rsid w:val="00C83654"/>
    <w:rsid w:val="00C836C2"/>
    <w:rsid w:val="00C83A02"/>
    <w:rsid w:val="00C83FE5"/>
    <w:rsid w:val="00C84154"/>
    <w:rsid w:val="00C84270"/>
    <w:rsid w:val="00C842F9"/>
    <w:rsid w:val="00C848A9"/>
    <w:rsid w:val="00C84D45"/>
    <w:rsid w:val="00C850D4"/>
    <w:rsid w:val="00C85CC5"/>
    <w:rsid w:val="00C85FFF"/>
    <w:rsid w:val="00C86183"/>
    <w:rsid w:val="00C86AC1"/>
    <w:rsid w:val="00C86AC4"/>
    <w:rsid w:val="00C86E8B"/>
    <w:rsid w:val="00C87082"/>
    <w:rsid w:val="00C8711F"/>
    <w:rsid w:val="00C8745E"/>
    <w:rsid w:val="00C87B2F"/>
    <w:rsid w:val="00C901B6"/>
    <w:rsid w:val="00C906F4"/>
    <w:rsid w:val="00C90B22"/>
    <w:rsid w:val="00C90DF9"/>
    <w:rsid w:val="00C9169E"/>
    <w:rsid w:val="00C9175A"/>
    <w:rsid w:val="00C91E99"/>
    <w:rsid w:val="00C921FE"/>
    <w:rsid w:val="00C924F5"/>
    <w:rsid w:val="00C9349A"/>
    <w:rsid w:val="00C934C0"/>
    <w:rsid w:val="00C93A5A"/>
    <w:rsid w:val="00C940DB"/>
    <w:rsid w:val="00C9473C"/>
    <w:rsid w:val="00C94756"/>
    <w:rsid w:val="00C950B0"/>
    <w:rsid w:val="00C9524B"/>
    <w:rsid w:val="00C95414"/>
    <w:rsid w:val="00C957AA"/>
    <w:rsid w:val="00C959B3"/>
    <w:rsid w:val="00C95AE2"/>
    <w:rsid w:val="00C964F4"/>
    <w:rsid w:val="00C96CA6"/>
    <w:rsid w:val="00C96D80"/>
    <w:rsid w:val="00C96ED6"/>
    <w:rsid w:val="00C97331"/>
    <w:rsid w:val="00C97393"/>
    <w:rsid w:val="00C97512"/>
    <w:rsid w:val="00C976C2"/>
    <w:rsid w:val="00C97B74"/>
    <w:rsid w:val="00C97F6D"/>
    <w:rsid w:val="00C97F7C"/>
    <w:rsid w:val="00CA0285"/>
    <w:rsid w:val="00CA05CB"/>
    <w:rsid w:val="00CA08C1"/>
    <w:rsid w:val="00CA0B69"/>
    <w:rsid w:val="00CA0F4D"/>
    <w:rsid w:val="00CA0FB7"/>
    <w:rsid w:val="00CA125E"/>
    <w:rsid w:val="00CA1304"/>
    <w:rsid w:val="00CA1371"/>
    <w:rsid w:val="00CA16DD"/>
    <w:rsid w:val="00CA195C"/>
    <w:rsid w:val="00CA1A2F"/>
    <w:rsid w:val="00CA1ACC"/>
    <w:rsid w:val="00CA1B83"/>
    <w:rsid w:val="00CA21AC"/>
    <w:rsid w:val="00CA251F"/>
    <w:rsid w:val="00CA2899"/>
    <w:rsid w:val="00CA2AF9"/>
    <w:rsid w:val="00CA2CF1"/>
    <w:rsid w:val="00CA319E"/>
    <w:rsid w:val="00CA3323"/>
    <w:rsid w:val="00CA346E"/>
    <w:rsid w:val="00CA3AD2"/>
    <w:rsid w:val="00CA3FC5"/>
    <w:rsid w:val="00CA3FE7"/>
    <w:rsid w:val="00CA4121"/>
    <w:rsid w:val="00CA480E"/>
    <w:rsid w:val="00CA4885"/>
    <w:rsid w:val="00CA505F"/>
    <w:rsid w:val="00CA5186"/>
    <w:rsid w:val="00CA5532"/>
    <w:rsid w:val="00CA5589"/>
    <w:rsid w:val="00CA5821"/>
    <w:rsid w:val="00CA5A7F"/>
    <w:rsid w:val="00CA5F87"/>
    <w:rsid w:val="00CA6246"/>
    <w:rsid w:val="00CA62EB"/>
    <w:rsid w:val="00CA65EA"/>
    <w:rsid w:val="00CA68E6"/>
    <w:rsid w:val="00CA68F2"/>
    <w:rsid w:val="00CA7563"/>
    <w:rsid w:val="00CA7768"/>
    <w:rsid w:val="00CA78F9"/>
    <w:rsid w:val="00CA7959"/>
    <w:rsid w:val="00CA7A18"/>
    <w:rsid w:val="00CA7A59"/>
    <w:rsid w:val="00CB01C0"/>
    <w:rsid w:val="00CB02B0"/>
    <w:rsid w:val="00CB0314"/>
    <w:rsid w:val="00CB05B9"/>
    <w:rsid w:val="00CB0663"/>
    <w:rsid w:val="00CB082C"/>
    <w:rsid w:val="00CB0ED4"/>
    <w:rsid w:val="00CB149C"/>
    <w:rsid w:val="00CB1D9E"/>
    <w:rsid w:val="00CB2206"/>
    <w:rsid w:val="00CB2E14"/>
    <w:rsid w:val="00CB3040"/>
    <w:rsid w:val="00CB319C"/>
    <w:rsid w:val="00CB393A"/>
    <w:rsid w:val="00CB395A"/>
    <w:rsid w:val="00CB3A50"/>
    <w:rsid w:val="00CB3B8C"/>
    <w:rsid w:val="00CB3FBB"/>
    <w:rsid w:val="00CB4070"/>
    <w:rsid w:val="00CB40BE"/>
    <w:rsid w:val="00CB4511"/>
    <w:rsid w:val="00CB46B7"/>
    <w:rsid w:val="00CB473F"/>
    <w:rsid w:val="00CB4BBE"/>
    <w:rsid w:val="00CB4DBF"/>
    <w:rsid w:val="00CB50F0"/>
    <w:rsid w:val="00CB571C"/>
    <w:rsid w:val="00CB5B37"/>
    <w:rsid w:val="00CB5D2E"/>
    <w:rsid w:val="00CB5F5A"/>
    <w:rsid w:val="00CB6411"/>
    <w:rsid w:val="00CB6937"/>
    <w:rsid w:val="00CB6D5D"/>
    <w:rsid w:val="00CB6F22"/>
    <w:rsid w:val="00CB759A"/>
    <w:rsid w:val="00CB7826"/>
    <w:rsid w:val="00CB7B8F"/>
    <w:rsid w:val="00CC02E3"/>
    <w:rsid w:val="00CC066E"/>
    <w:rsid w:val="00CC0949"/>
    <w:rsid w:val="00CC0C35"/>
    <w:rsid w:val="00CC13D2"/>
    <w:rsid w:val="00CC1537"/>
    <w:rsid w:val="00CC1700"/>
    <w:rsid w:val="00CC1E8E"/>
    <w:rsid w:val="00CC1EA7"/>
    <w:rsid w:val="00CC1F94"/>
    <w:rsid w:val="00CC212A"/>
    <w:rsid w:val="00CC297A"/>
    <w:rsid w:val="00CC2E41"/>
    <w:rsid w:val="00CC2EA0"/>
    <w:rsid w:val="00CC2F8C"/>
    <w:rsid w:val="00CC3548"/>
    <w:rsid w:val="00CC35F2"/>
    <w:rsid w:val="00CC36F5"/>
    <w:rsid w:val="00CC38E9"/>
    <w:rsid w:val="00CC3C0E"/>
    <w:rsid w:val="00CC3EB4"/>
    <w:rsid w:val="00CC4280"/>
    <w:rsid w:val="00CC4400"/>
    <w:rsid w:val="00CC45BE"/>
    <w:rsid w:val="00CC47AF"/>
    <w:rsid w:val="00CC496F"/>
    <w:rsid w:val="00CC4DF1"/>
    <w:rsid w:val="00CC4EE5"/>
    <w:rsid w:val="00CC5AF6"/>
    <w:rsid w:val="00CC5B63"/>
    <w:rsid w:val="00CC5DAD"/>
    <w:rsid w:val="00CC5DDE"/>
    <w:rsid w:val="00CC5EE4"/>
    <w:rsid w:val="00CC6713"/>
    <w:rsid w:val="00CC6A18"/>
    <w:rsid w:val="00CC6B6F"/>
    <w:rsid w:val="00CC7205"/>
    <w:rsid w:val="00CC7498"/>
    <w:rsid w:val="00CC79A1"/>
    <w:rsid w:val="00CC7CD9"/>
    <w:rsid w:val="00CD0704"/>
    <w:rsid w:val="00CD0CAC"/>
    <w:rsid w:val="00CD147E"/>
    <w:rsid w:val="00CD15E5"/>
    <w:rsid w:val="00CD174C"/>
    <w:rsid w:val="00CD178A"/>
    <w:rsid w:val="00CD1842"/>
    <w:rsid w:val="00CD1B29"/>
    <w:rsid w:val="00CD1F7B"/>
    <w:rsid w:val="00CD22C3"/>
    <w:rsid w:val="00CD23D9"/>
    <w:rsid w:val="00CD2981"/>
    <w:rsid w:val="00CD2E9D"/>
    <w:rsid w:val="00CD31F1"/>
    <w:rsid w:val="00CD336B"/>
    <w:rsid w:val="00CD36DA"/>
    <w:rsid w:val="00CD3784"/>
    <w:rsid w:val="00CD38FB"/>
    <w:rsid w:val="00CD39A1"/>
    <w:rsid w:val="00CD3AC1"/>
    <w:rsid w:val="00CD3F52"/>
    <w:rsid w:val="00CD4109"/>
    <w:rsid w:val="00CD482E"/>
    <w:rsid w:val="00CD4C6A"/>
    <w:rsid w:val="00CD5302"/>
    <w:rsid w:val="00CD5913"/>
    <w:rsid w:val="00CD5B1A"/>
    <w:rsid w:val="00CD60B8"/>
    <w:rsid w:val="00CD62C8"/>
    <w:rsid w:val="00CD6700"/>
    <w:rsid w:val="00CD6707"/>
    <w:rsid w:val="00CD7B06"/>
    <w:rsid w:val="00CD7C1E"/>
    <w:rsid w:val="00CD7CB6"/>
    <w:rsid w:val="00CD7D5B"/>
    <w:rsid w:val="00CD7E23"/>
    <w:rsid w:val="00CE0270"/>
    <w:rsid w:val="00CE091F"/>
    <w:rsid w:val="00CE0964"/>
    <w:rsid w:val="00CE0ABA"/>
    <w:rsid w:val="00CE0B54"/>
    <w:rsid w:val="00CE0BB2"/>
    <w:rsid w:val="00CE0CAA"/>
    <w:rsid w:val="00CE1AA4"/>
    <w:rsid w:val="00CE1FEF"/>
    <w:rsid w:val="00CE20FC"/>
    <w:rsid w:val="00CE216E"/>
    <w:rsid w:val="00CE2404"/>
    <w:rsid w:val="00CE278A"/>
    <w:rsid w:val="00CE2BFD"/>
    <w:rsid w:val="00CE3507"/>
    <w:rsid w:val="00CE351F"/>
    <w:rsid w:val="00CE38FF"/>
    <w:rsid w:val="00CE441B"/>
    <w:rsid w:val="00CE481D"/>
    <w:rsid w:val="00CE48CD"/>
    <w:rsid w:val="00CE4915"/>
    <w:rsid w:val="00CE4979"/>
    <w:rsid w:val="00CE4C01"/>
    <w:rsid w:val="00CE4D23"/>
    <w:rsid w:val="00CE50C5"/>
    <w:rsid w:val="00CE59E9"/>
    <w:rsid w:val="00CE5AB2"/>
    <w:rsid w:val="00CE6241"/>
    <w:rsid w:val="00CE62FD"/>
    <w:rsid w:val="00CE6A6E"/>
    <w:rsid w:val="00CE6FC0"/>
    <w:rsid w:val="00CE7070"/>
    <w:rsid w:val="00CE70E1"/>
    <w:rsid w:val="00CE738D"/>
    <w:rsid w:val="00CE76E1"/>
    <w:rsid w:val="00CE7770"/>
    <w:rsid w:val="00CE777E"/>
    <w:rsid w:val="00CE77CF"/>
    <w:rsid w:val="00CE7BDF"/>
    <w:rsid w:val="00CE7CBB"/>
    <w:rsid w:val="00CF013F"/>
    <w:rsid w:val="00CF076F"/>
    <w:rsid w:val="00CF082E"/>
    <w:rsid w:val="00CF0E91"/>
    <w:rsid w:val="00CF1039"/>
    <w:rsid w:val="00CF105F"/>
    <w:rsid w:val="00CF1451"/>
    <w:rsid w:val="00CF157A"/>
    <w:rsid w:val="00CF162C"/>
    <w:rsid w:val="00CF163C"/>
    <w:rsid w:val="00CF1A47"/>
    <w:rsid w:val="00CF1B7E"/>
    <w:rsid w:val="00CF1FC6"/>
    <w:rsid w:val="00CF207E"/>
    <w:rsid w:val="00CF2B98"/>
    <w:rsid w:val="00CF2C6A"/>
    <w:rsid w:val="00CF2E63"/>
    <w:rsid w:val="00CF2F2B"/>
    <w:rsid w:val="00CF3535"/>
    <w:rsid w:val="00CF37A5"/>
    <w:rsid w:val="00CF3A96"/>
    <w:rsid w:val="00CF3B01"/>
    <w:rsid w:val="00CF4159"/>
    <w:rsid w:val="00CF4955"/>
    <w:rsid w:val="00CF51E8"/>
    <w:rsid w:val="00CF5360"/>
    <w:rsid w:val="00CF53E2"/>
    <w:rsid w:val="00CF5475"/>
    <w:rsid w:val="00CF58C8"/>
    <w:rsid w:val="00CF59E7"/>
    <w:rsid w:val="00CF5F24"/>
    <w:rsid w:val="00CF62C1"/>
    <w:rsid w:val="00CF669B"/>
    <w:rsid w:val="00CF68C2"/>
    <w:rsid w:val="00CF6C4E"/>
    <w:rsid w:val="00CF6D6C"/>
    <w:rsid w:val="00CF6E89"/>
    <w:rsid w:val="00CF701D"/>
    <w:rsid w:val="00CF71A3"/>
    <w:rsid w:val="00CF73A9"/>
    <w:rsid w:val="00CF78F4"/>
    <w:rsid w:val="00CF79D0"/>
    <w:rsid w:val="00D0031A"/>
    <w:rsid w:val="00D00F80"/>
    <w:rsid w:val="00D01679"/>
    <w:rsid w:val="00D0177C"/>
    <w:rsid w:val="00D01911"/>
    <w:rsid w:val="00D01D08"/>
    <w:rsid w:val="00D01DE9"/>
    <w:rsid w:val="00D022AE"/>
    <w:rsid w:val="00D0230F"/>
    <w:rsid w:val="00D02552"/>
    <w:rsid w:val="00D02891"/>
    <w:rsid w:val="00D029A1"/>
    <w:rsid w:val="00D03807"/>
    <w:rsid w:val="00D03D9E"/>
    <w:rsid w:val="00D041AD"/>
    <w:rsid w:val="00D048A7"/>
    <w:rsid w:val="00D04A18"/>
    <w:rsid w:val="00D0567B"/>
    <w:rsid w:val="00D05982"/>
    <w:rsid w:val="00D05E8B"/>
    <w:rsid w:val="00D0659B"/>
    <w:rsid w:val="00D06640"/>
    <w:rsid w:val="00D072B2"/>
    <w:rsid w:val="00D07383"/>
    <w:rsid w:val="00D0782B"/>
    <w:rsid w:val="00D07C0D"/>
    <w:rsid w:val="00D07FEA"/>
    <w:rsid w:val="00D10023"/>
    <w:rsid w:val="00D10187"/>
    <w:rsid w:val="00D10387"/>
    <w:rsid w:val="00D106EA"/>
    <w:rsid w:val="00D10902"/>
    <w:rsid w:val="00D10A7F"/>
    <w:rsid w:val="00D10C22"/>
    <w:rsid w:val="00D10CC3"/>
    <w:rsid w:val="00D1128E"/>
    <w:rsid w:val="00D1139E"/>
    <w:rsid w:val="00D114E1"/>
    <w:rsid w:val="00D11550"/>
    <w:rsid w:val="00D11DFE"/>
    <w:rsid w:val="00D11F84"/>
    <w:rsid w:val="00D1310A"/>
    <w:rsid w:val="00D1318B"/>
    <w:rsid w:val="00D13A13"/>
    <w:rsid w:val="00D13A90"/>
    <w:rsid w:val="00D14057"/>
    <w:rsid w:val="00D144DD"/>
    <w:rsid w:val="00D14773"/>
    <w:rsid w:val="00D14F8A"/>
    <w:rsid w:val="00D15162"/>
    <w:rsid w:val="00D15225"/>
    <w:rsid w:val="00D15680"/>
    <w:rsid w:val="00D15762"/>
    <w:rsid w:val="00D15C05"/>
    <w:rsid w:val="00D16461"/>
    <w:rsid w:val="00D16B7F"/>
    <w:rsid w:val="00D176BC"/>
    <w:rsid w:val="00D17D2B"/>
    <w:rsid w:val="00D17E0E"/>
    <w:rsid w:val="00D20044"/>
    <w:rsid w:val="00D20134"/>
    <w:rsid w:val="00D20224"/>
    <w:rsid w:val="00D20B4E"/>
    <w:rsid w:val="00D20BE8"/>
    <w:rsid w:val="00D20C25"/>
    <w:rsid w:val="00D20D43"/>
    <w:rsid w:val="00D20F8C"/>
    <w:rsid w:val="00D21028"/>
    <w:rsid w:val="00D21316"/>
    <w:rsid w:val="00D21461"/>
    <w:rsid w:val="00D216A8"/>
    <w:rsid w:val="00D224B8"/>
    <w:rsid w:val="00D22833"/>
    <w:rsid w:val="00D229C9"/>
    <w:rsid w:val="00D23524"/>
    <w:rsid w:val="00D2392A"/>
    <w:rsid w:val="00D23A04"/>
    <w:rsid w:val="00D23AE4"/>
    <w:rsid w:val="00D243EA"/>
    <w:rsid w:val="00D243F2"/>
    <w:rsid w:val="00D24623"/>
    <w:rsid w:val="00D246AA"/>
    <w:rsid w:val="00D2539C"/>
    <w:rsid w:val="00D25A97"/>
    <w:rsid w:val="00D25E69"/>
    <w:rsid w:val="00D25F3E"/>
    <w:rsid w:val="00D2609F"/>
    <w:rsid w:val="00D2639D"/>
    <w:rsid w:val="00D265E7"/>
    <w:rsid w:val="00D269A2"/>
    <w:rsid w:val="00D26B08"/>
    <w:rsid w:val="00D26DC2"/>
    <w:rsid w:val="00D27137"/>
    <w:rsid w:val="00D2721E"/>
    <w:rsid w:val="00D27407"/>
    <w:rsid w:val="00D27707"/>
    <w:rsid w:val="00D27948"/>
    <w:rsid w:val="00D27960"/>
    <w:rsid w:val="00D27A99"/>
    <w:rsid w:val="00D27C72"/>
    <w:rsid w:val="00D30144"/>
    <w:rsid w:val="00D30316"/>
    <w:rsid w:val="00D30590"/>
    <w:rsid w:val="00D308D2"/>
    <w:rsid w:val="00D31009"/>
    <w:rsid w:val="00D3126B"/>
    <w:rsid w:val="00D312F3"/>
    <w:rsid w:val="00D31F53"/>
    <w:rsid w:val="00D31F95"/>
    <w:rsid w:val="00D327B4"/>
    <w:rsid w:val="00D32D93"/>
    <w:rsid w:val="00D32E28"/>
    <w:rsid w:val="00D32FB5"/>
    <w:rsid w:val="00D332EA"/>
    <w:rsid w:val="00D33C43"/>
    <w:rsid w:val="00D33D67"/>
    <w:rsid w:val="00D358BF"/>
    <w:rsid w:val="00D35AC1"/>
    <w:rsid w:val="00D35B27"/>
    <w:rsid w:val="00D3642A"/>
    <w:rsid w:val="00D36706"/>
    <w:rsid w:val="00D36F18"/>
    <w:rsid w:val="00D3716E"/>
    <w:rsid w:val="00D372A3"/>
    <w:rsid w:val="00D401CA"/>
    <w:rsid w:val="00D4022A"/>
    <w:rsid w:val="00D40254"/>
    <w:rsid w:val="00D402B7"/>
    <w:rsid w:val="00D40309"/>
    <w:rsid w:val="00D40778"/>
    <w:rsid w:val="00D41155"/>
    <w:rsid w:val="00D417D1"/>
    <w:rsid w:val="00D41B83"/>
    <w:rsid w:val="00D421EC"/>
    <w:rsid w:val="00D424AB"/>
    <w:rsid w:val="00D424D1"/>
    <w:rsid w:val="00D429DF"/>
    <w:rsid w:val="00D42C9B"/>
    <w:rsid w:val="00D43037"/>
    <w:rsid w:val="00D436F3"/>
    <w:rsid w:val="00D43899"/>
    <w:rsid w:val="00D43AAD"/>
    <w:rsid w:val="00D43DBF"/>
    <w:rsid w:val="00D43F12"/>
    <w:rsid w:val="00D4439A"/>
    <w:rsid w:val="00D447FE"/>
    <w:rsid w:val="00D44ACF"/>
    <w:rsid w:val="00D44D54"/>
    <w:rsid w:val="00D453C1"/>
    <w:rsid w:val="00D453E7"/>
    <w:rsid w:val="00D45971"/>
    <w:rsid w:val="00D45C71"/>
    <w:rsid w:val="00D45DFB"/>
    <w:rsid w:val="00D46251"/>
    <w:rsid w:val="00D463AE"/>
    <w:rsid w:val="00D46782"/>
    <w:rsid w:val="00D4694E"/>
    <w:rsid w:val="00D4695F"/>
    <w:rsid w:val="00D46EDB"/>
    <w:rsid w:val="00D4713A"/>
    <w:rsid w:val="00D473CE"/>
    <w:rsid w:val="00D476F4"/>
    <w:rsid w:val="00D47C6C"/>
    <w:rsid w:val="00D47E14"/>
    <w:rsid w:val="00D500C8"/>
    <w:rsid w:val="00D501E1"/>
    <w:rsid w:val="00D5023A"/>
    <w:rsid w:val="00D5040B"/>
    <w:rsid w:val="00D5040C"/>
    <w:rsid w:val="00D509B5"/>
    <w:rsid w:val="00D50A17"/>
    <w:rsid w:val="00D51132"/>
    <w:rsid w:val="00D511BF"/>
    <w:rsid w:val="00D51373"/>
    <w:rsid w:val="00D513D4"/>
    <w:rsid w:val="00D5212B"/>
    <w:rsid w:val="00D526F5"/>
    <w:rsid w:val="00D5326E"/>
    <w:rsid w:val="00D53351"/>
    <w:rsid w:val="00D53CB8"/>
    <w:rsid w:val="00D53D30"/>
    <w:rsid w:val="00D53EAC"/>
    <w:rsid w:val="00D5422B"/>
    <w:rsid w:val="00D542D2"/>
    <w:rsid w:val="00D5442D"/>
    <w:rsid w:val="00D54555"/>
    <w:rsid w:val="00D54957"/>
    <w:rsid w:val="00D54D1C"/>
    <w:rsid w:val="00D54E4A"/>
    <w:rsid w:val="00D54F76"/>
    <w:rsid w:val="00D55525"/>
    <w:rsid w:val="00D5560D"/>
    <w:rsid w:val="00D55A9D"/>
    <w:rsid w:val="00D55F5C"/>
    <w:rsid w:val="00D5607D"/>
    <w:rsid w:val="00D560A7"/>
    <w:rsid w:val="00D565BF"/>
    <w:rsid w:val="00D5665E"/>
    <w:rsid w:val="00D56900"/>
    <w:rsid w:val="00D56D74"/>
    <w:rsid w:val="00D57AB6"/>
    <w:rsid w:val="00D57F12"/>
    <w:rsid w:val="00D57F58"/>
    <w:rsid w:val="00D60082"/>
    <w:rsid w:val="00D6035D"/>
    <w:rsid w:val="00D60B79"/>
    <w:rsid w:val="00D61022"/>
    <w:rsid w:val="00D6132B"/>
    <w:rsid w:val="00D61BC9"/>
    <w:rsid w:val="00D620CF"/>
    <w:rsid w:val="00D621D7"/>
    <w:rsid w:val="00D623E8"/>
    <w:rsid w:val="00D6298F"/>
    <w:rsid w:val="00D62D98"/>
    <w:rsid w:val="00D62DA8"/>
    <w:rsid w:val="00D62E5B"/>
    <w:rsid w:val="00D6349E"/>
    <w:rsid w:val="00D641CF"/>
    <w:rsid w:val="00D645BC"/>
    <w:rsid w:val="00D6488A"/>
    <w:rsid w:val="00D64960"/>
    <w:rsid w:val="00D64BB4"/>
    <w:rsid w:val="00D64D1E"/>
    <w:rsid w:val="00D64F29"/>
    <w:rsid w:val="00D65AEA"/>
    <w:rsid w:val="00D65E81"/>
    <w:rsid w:val="00D660BC"/>
    <w:rsid w:val="00D6694D"/>
    <w:rsid w:val="00D66AD7"/>
    <w:rsid w:val="00D66D05"/>
    <w:rsid w:val="00D67110"/>
    <w:rsid w:val="00D67ACA"/>
    <w:rsid w:val="00D67B4F"/>
    <w:rsid w:val="00D67E0E"/>
    <w:rsid w:val="00D700D1"/>
    <w:rsid w:val="00D70534"/>
    <w:rsid w:val="00D70E47"/>
    <w:rsid w:val="00D7115B"/>
    <w:rsid w:val="00D713B6"/>
    <w:rsid w:val="00D71922"/>
    <w:rsid w:val="00D71CA5"/>
    <w:rsid w:val="00D7243A"/>
    <w:rsid w:val="00D72B5A"/>
    <w:rsid w:val="00D72CB2"/>
    <w:rsid w:val="00D72F8F"/>
    <w:rsid w:val="00D73B02"/>
    <w:rsid w:val="00D73DA9"/>
    <w:rsid w:val="00D740B9"/>
    <w:rsid w:val="00D7415F"/>
    <w:rsid w:val="00D744BE"/>
    <w:rsid w:val="00D745FF"/>
    <w:rsid w:val="00D74628"/>
    <w:rsid w:val="00D74654"/>
    <w:rsid w:val="00D74692"/>
    <w:rsid w:val="00D747C0"/>
    <w:rsid w:val="00D74B14"/>
    <w:rsid w:val="00D74E54"/>
    <w:rsid w:val="00D74E65"/>
    <w:rsid w:val="00D75209"/>
    <w:rsid w:val="00D75713"/>
    <w:rsid w:val="00D75912"/>
    <w:rsid w:val="00D7595F"/>
    <w:rsid w:val="00D75C34"/>
    <w:rsid w:val="00D75F04"/>
    <w:rsid w:val="00D760F5"/>
    <w:rsid w:val="00D76389"/>
    <w:rsid w:val="00D766AA"/>
    <w:rsid w:val="00D76737"/>
    <w:rsid w:val="00D76843"/>
    <w:rsid w:val="00D76B8A"/>
    <w:rsid w:val="00D771E2"/>
    <w:rsid w:val="00D7773D"/>
    <w:rsid w:val="00D77C9E"/>
    <w:rsid w:val="00D77E0B"/>
    <w:rsid w:val="00D802DF"/>
    <w:rsid w:val="00D80663"/>
    <w:rsid w:val="00D80FCC"/>
    <w:rsid w:val="00D81282"/>
    <w:rsid w:val="00D81359"/>
    <w:rsid w:val="00D81ACC"/>
    <w:rsid w:val="00D81FBE"/>
    <w:rsid w:val="00D82073"/>
    <w:rsid w:val="00D82313"/>
    <w:rsid w:val="00D8272E"/>
    <w:rsid w:val="00D82B77"/>
    <w:rsid w:val="00D82B8F"/>
    <w:rsid w:val="00D82FEF"/>
    <w:rsid w:val="00D83974"/>
    <w:rsid w:val="00D83A22"/>
    <w:rsid w:val="00D83CA2"/>
    <w:rsid w:val="00D83E41"/>
    <w:rsid w:val="00D848E1"/>
    <w:rsid w:val="00D84FA4"/>
    <w:rsid w:val="00D84FB2"/>
    <w:rsid w:val="00D85438"/>
    <w:rsid w:val="00D8567C"/>
    <w:rsid w:val="00D8575E"/>
    <w:rsid w:val="00D85C8D"/>
    <w:rsid w:val="00D85E94"/>
    <w:rsid w:val="00D85EB8"/>
    <w:rsid w:val="00D85F35"/>
    <w:rsid w:val="00D867EC"/>
    <w:rsid w:val="00D86CFD"/>
    <w:rsid w:val="00D86EF4"/>
    <w:rsid w:val="00D87018"/>
    <w:rsid w:val="00D870DD"/>
    <w:rsid w:val="00D8742B"/>
    <w:rsid w:val="00D87A1B"/>
    <w:rsid w:val="00D87C50"/>
    <w:rsid w:val="00D87D59"/>
    <w:rsid w:val="00D904FD"/>
    <w:rsid w:val="00D9050E"/>
    <w:rsid w:val="00D90526"/>
    <w:rsid w:val="00D90549"/>
    <w:rsid w:val="00D90B02"/>
    <w:rsid w:val="00D90F91"/>
    <w:rsid w:val="00D9105B"/>
    <w:rsid w:val="00D921B8"/>
    <w:rsid w:val="00D927BA"/>
    <w:rsid w:val="00D92B14"/>
    <w:rsid w:val="00D92FE8"/>
    <w:rsid w:val="00D934ED"/>
    <w:rsid w:val="00D936E4"/>
    <w:rsid w:val="00D9413D"/>
    <w:rsid w:val="00D94584"/>
    <w:rsid w:val="00D95181"/>
    <w:rsid w:val="00D9557B"/>
    <w:rsid w:val="00D95582"/>
    <w:rsid w:val="00D9571C"/>
    <w:rsid w:val="00D95EA5"/>
    <w:rsid w:val="00D9605E"/>
    <w:rsid w:val="00D961F1"/>
    <w:rsid w:val="00D963C2"/>
    <w:rsid w:val="00D96589"/>
    <w:rsid w:val="00D96C5C"/>
    <w:rsid w:val="00D96D4B"/>
    <w:rsid w:val="00D9758B"/>
    <w:rsid w:val="00D977AD"/>
    <w:rsid w:val="00D97AA0"/>
    <w:rsid w:val="00D97F43"/>
    <w:rsid w:val="00DA0214"/>
    <w:rsid w:val="00DA02AD"/>
    <w:rsid w:val="00DA054E"/>
    <w:rsid w:val="00DA05FA"/>
    <w:rsid w:val="00DA09A4"/>
    <w:rsid w:val="00DA0D53"/>
    <w:rsid w:val="00DA0FB1"/>
    <w:rsid w:val="00DA11BE"/>
    <w:rsid w:val="00DA14AF"/>
    <w:rsid w:val="00DA18E0"/>
    <w:rsid w:val="00DA191D"/>
    <w:rsid w:val="00DA1EB3"/>
    <w:rsid w:val="00DA1F0C"/>
    <w:rsid w:val="00DA21DB"/>
    <w:rsid w:val="00DA2668"/>
    <w:rsid w:val="00DA28A1"/>
    <w:rsid w:val="00DA296B"/>
    <w:rsid w:val="00DA29C7"/>
    <w:rsid w:val="00DA2BBC"/>
    <w:rsid w:val="00DA2BEA"/>
    <w:rsid w:val="00DA2C39"/>
    <w:rsid w:val="00DA3518"/>
    <w:rsid w:val="00DA36F8"/>
    <w:rsid w:val="00DA37C8"/>
    <w:rsid w:val="00DA3872"/>
    <w:rsid w:val="00DA3906"/>
    <w:rsid w:val="00DA4297"/>
    <w:rsid w:val="00DA4465"/>
    <w:rsid w:val="00DA4803"/>
    <w:rsid w:val="00DA4807"/>
    <w:rsid w:val="00DA5151"/>
    <w:rsid w:val="00DA5A91"/>
    <w:rsid w:val="00DA6100"/>
    <w:rsid w:val="00DA612B"/>
    <w:rsid w:val="00DA6354"/>
    <w:rsid w:val="00DA67F7"/>
    <w:rsid w:val="00DA6878"/>
    <w:rsid w:val="00DA7E9C"/>
    <w:rsid w:val="00DB01B5"/>
    <w:rsid w:val="00DB02E7"/>
    <w:rsid w:val="00DB09E1"/>
    <w:rsid w:val="00DB1176"/>
    <w:rsid w:val="00DB15C1"/>
    <w:rsid w:val="00DB172E"/>
    <w:rsid w:val="00DB186B"/>
    <w:rsid w:val="00DB19F3"/>
    <w:rsid w:val="00DB22B9"/>
    <w:rsid w:val="00DB2466"/>
    <w:rsid w:val="00DB24AB"/>
    <w:rsid w:val="00DB25F1"/>
    <w:rsid w:val="00DB2E47"/>
    <w:rsid w:val="00DB30CE"/>
    <w:rsid w:val="00DB322A"/>
    <w:rsid w:val="00DB3324"/>
    <w:rsid w:val="00DB3488"/>
    <w:rsid w:val="00DB3504"/>
    <w:rsid w:val="00DB35F4"/>
    <w:rsid w:val="00DB37EA"/>
    <w:rsid w:val="00DB3A7E"/>
    <w:rsid w:val="00DB3B97"/>
    <w:rsid w:val="00DB3EEF"/>
    <w:rsid w:val="00DB418A"/>
    <w:rsid w:val="00DB4329"/>
    <w:rsid w:val="00DB44A8"/>
    <w:rsid w:val="00DB4541"/>
    <w:rsid w:val="00DB45A0"/>
    <w:rsid w:val="00DB476F"/>
    <w:rsid w:val="00DB4818"/>
    <w:rsid w:val="00DB4B2C"/>
    <w:rsid w:val="00DB4BB6"/>
    <w:rsid w:val="00DB51BE"/>
    <w:rsid w:val="00DB52D8"/>
    <w:rsid w:val="00DB532C"/>
    <w:rsid w:val="00DB5913"/>
    <w:rsid w:val="00DB5C46"/>
    <w:rsid w:val="00DB5F55"/>
    <w:rsid w:val="00DB6246"/>
    <w:rsid w:val="00DB65F5"/>
    <w:rsid w:val="00DB71A1"/>
    <w:rsid w:val="00DB74A8"/>
    <w:rsid w:val="00DB7663"/>
    <w:rsid w:val="00DB776E"/>
    <w:rsid w:val="00DB785C"/>
    <w:rsid w:val="00DB7CB4"/>
    <w:rsid w:val="00DB7D58"/>
    <w:rsid w:val="00DB7E57"/>
    <w:rsid w:val="00DB7F39"/>
    <w:rsid w:val="00DC042B"/>
    <w:rsid w:val="00DC0535"/>
    <w:rsid w:val="00DC063F"/>
    <w:rsid w:val="00DC0AEE"/>
    <w:rsid w:val="00DC0DC0"/>
    <w:rsid w:val="00DC1597"/>
    <w:rsid w:val="00DC17D6"/>
    <w:rsid w:val="00DC19EA"/>
    <w:rsid w:val="00DC1B62"/>
    <w:rsid w:val="00DC2311"/>
    <w:rsid w:val="00DC257F"/>
    <w:rsid w:val="00DC284F"/>
    <w:rsid w:val="00DC2C2F"/>
    <w:rsid w:val="00DC2DF7"/>
    <w:rsid w:val="00DC308A"/>
    <w:rsid w:val="00DC36B4"/>
    <w:rsid w:val="00DC3778"/>
    <w:rsid w:val="00DC38C1"/>
    <w:rsid w:val="00DC3DE5"/>
    <w:rsid w:val="00DC41B1"/>
    <w:rsid w:val="00DC490F"/>
    <w:rsid w:val="00DC4AE8"/>
    <w:rsid w:val="00DC4C93"/>
    <w:rsid w:val="00DC5131"/>
    <w:rsid w:val="00DC550D"/>
    <w:rsid w:val="00DC56A0"/>
    <w:rsid w:val="00DC6214"/>
    <w:rsid w:val="00DC66AC"/>
    <w:rsid w:val="00DC676E"/>
    <w:rsid w:val="00DC75C2"/>
    <w:rsid w:val="00DD0903"/>
    <w:rsid w:val="00DD0A32"/>
    <w:rsid w:val="00DD0A9E"/>
    <w:rsid w:val="00DD0E9A"/>
    <w:rsid w:val="00DD1876"/>
    <w:rsid w:val="00DD1D71"/>
    <w:rsid w:val="00DD1EB1"/>
    <w:rsid w:val="00DD2116"/>
    <w:rsid w:val="00DD218C"/>
    <w:rsid w:val="00DD2B64"/>
    <w:rsid w:val="00DD2CE8"/>
    <w:rsid w:val="00DD35E3"/>
    <w:rsid w:val="00DD366E"/>
    <w:rsid w:val="00DD382C"/>
    <w:rsid w:val="00DD434C"/>
    <w:rsid w:val="00DD44B8"/>
    <w:rsid w:val="00DD44FE"/>
    <w:rsid w:val="00DD466E"/>
    <w:rsid w:val="00DD46E4"/>
    <w:rsid w:val="00DD46E5"/>
    <w:rsid w:val="00DD49DB"/>
    <w:rsid w:val="00DD4E71"/>
    <w:rsid w:val="00DD50C1"/>
    <w:rsid w:val="00DD5104"/>
    <w:rsid w:val="00DD5440"/>
    <w:rsid w:val="00DD5CCD"/>
    <w:rsid w:val="00DD5D05"/>
    <w:rsid w:val="00DD61FE"/>
    <w:rsid w:val="00DD62CD"/>
    <w:rsid w:val="00DD65A3"/>
    <w:rsid w:val="00DD679A"/>
    <w:rsid w:val="00DD6B4C"/>
    <w:rsid w:val="00DD7682"/>
    <w:rsid w:val="00DD7703"/>
    <w:rsid w:val="00DD7BC0"/>
    <w:rsid w:val="00DE0390"/>
    <w:rsid w:val="00DE0456"/>
    <w:rsid w:val="00DE11DB"/>
    <w:rsid w:val="00DE162D"/>
    <w:rsid w:val="00DE174C"/>
    <w:rsid w:val="00DE1B12"/>
    <w:rsid w:val="00DE21C6"/>
    <w:rsid w:val="00DE227B"/>
    <w:rsid w:val="00DE22AC"/>
    <w:rsid w:val="00DE345C"/>
    <w:rsid w:val="00DE40A2"/>
    <w:rsid w:val="00DE4909"/>
    <w:rsid w:val="00DE49E7"/>
    <w:rsid w:val="00DE4B31"/>
    <w:rsid w:val="00DE4FFB"/>
    <w:rsid w:val="00DE55AB"/>
    <w:rsid w:val="00DE58E2"/>
    <w:rsid w:val="00DE5AF5"/>
    <w:rsid w:val="00DE5C94"/>
    <w:rsid w:val="00DE60E4"/>
    <w:rsid w:val="00DE6185"/>
    <w:rsid w:val="00DE636B"/>
    <w:rsid w:val="00DE6BCD"/>
    <w:rsid w:val="00DE7B39"/>
    <w:rsid w:val="00DE7FD9"/>
    <w:rsid w:val="00DE7FFE"/>
    <w:rsid w:val="00DF0768"/>
    <w:rsid w:val="00DF0B70"/>
    <w:rsid w:val="00DF0E7B"/>
    <w:rsid w:val="00DF10E9"/>
    <w:rsid w:val="00DF1242"/>
    <w:rsid w:val="00DF1A4E"/>
    <w:rsid w:val="00DF1C32"/>
    <w:rsid w:val="00DF1FA2"/>
    <w:rsid w:val="00DF20F6"/>
    <w:rsid w:val="00DF2101"/>
    <w:rsid w:val="00DF232C"/>
    <w:rsid w:val="00DF2556"/>
    <w:rsid w:val="00DF25B4"/>
    <w:rsid w:val="00DF2785"/>
    <w:rsid w:val="00DF28C5"/>
    <w:rsid w:val="00DF2A0E"/>
    <w:rsid w:val="00DF2CE8"/>
    <w:rsid w:val="00DF2D28"/>
    <w:rsid w:val="00DF2F9D"/>
    <w:rsid w:val="00DF3100"/>
    <w:rsid w:val="00DF3115"/>
    <w:rsid w:val="00DF3450"/>
    <w:rsid w:val="00DF3601"/>
    <w:rsid w:val="00DF3811"/>
    <w:rsid w:val="00DF38F0"/>
    <w:rsid w:val="00DF41F3"/>
    <w:rsid w:val="00DF4AF4"/>
    <w:rsid w:val="00DF4D1F"/>
    <w:rsid w:val="00DF508A"/>
    <w:rsid w:val="00DF5583"/>
    <w:rsid w:val="00DF55A9"/>
    <w:rsid w:val="00DF562A"/>
    <w:rsid w:val="00DF569E"/>
    <w:rsid w:val="00DF5FE1"/>
    <w:rsid w:val="00DF60C8"/>
    <w:rsid w:val="00DF619F"/>
    <w:rsid w:val="00DF7593"/>
    <w:rsid w:val="00DF7D99"/>
    <w:rsid w:val="00DF7DE0"/>
    <w:rsid w:val="00DF7E57"/>
    <w:rsid w:val="00DF7F71"/>
    <w:rsid w:val="00E00247"/>
    <w:rsid w:val="00E005B6"/>
    <w:rsid w:val="00E00988"/>
    <w:rsid w:val="00E00A1F"/>
    <w:rsid w:val="00E00BC9"/>
    <w:rsid w:val="00E00BD3"/>
    <w:rsid w:val="00E00C01"/>
    <w:rsid w:val="00E00C54"/>
    <w:rsid w:val="00E00EC9"/>
    <w:rsid w:val="00E00F83"/>
    <w:rsid w:val="00E01108"/>
    <w:rsid w:val="00E011C4"/>
    <w:rsid w:val="00E0131B"/>
    <w:rsid w:val="00E015BD"/>
    <w:rsid w:val="00E01613"/>
    <w:rsid w:val="00E01A45"/>
    <w:rsid w:val="00E01C04"/>
    <w:rsid w:val="00E01C44"/>
    <w:rsid w:val="00E01C59"/>
    <w:rsid w:val="00E01FD9"/>
    <w:rsid w:val="00E02321"/>
    <w:rsid w:val="00E03968"/>
    <w:rsid w:val="00E039D8"/>
    <w:rsid w:val="00E03C3D"/>
    <w:rsid w:val="00E03C6E"/>
    <w:rsid w:val="00E0453C"/>
    <w:rsid w:val="00E046AC"/>
    <w:rsid w:val="00E04E48"/>
    <w:rsid w:val="00E056E3"/>
    <w:rsid w:val="00E05A57"/>
    <w:rsid w:val="00E05C1E"/>
    <w:rsid w:val="00E05E30"/>
    <w:rsid w:val="00E05E8C"/>
    <w:rsid w:val="00E05F81"/>
    <w:rsid w:val="00E06193"/>
    <w:rsid w:val="00E061B6"/>
    <w:rsid w:val="00E063AD"/>
    <w:rsid w:val="00E06884"/>
    <w:rsid w:val="00E06E06"/>
    <w:rsid w:val="00E071D5"/>
    <w:rsid w:val="00E076B5"/>
    <w:rsid w:val="00E07FEE"/>
    <w:rsid w:val="00E100FC"/>
    <w:rsid w:val="00E10246"/>
    <w:rsid w:val="00E10574"/>
    <w:rsid w:val="00E10FD0"/>
    <w:rsid w:val="00E116F4"/>
    <w:rsid w:val="00E11ACB"/>
    <w:rsid w:val="00E12344"/>
    <w:rsid w:val="00E123AE"/>
    <w:rsid w:val="00E12884"/>
    <w:rsid w:val="00E12EE1"/>
    <w:rsid w:val="00E138D0"/>
    <w:rsid w:val="00E138E5"/>
    <w:rsid w:val="00E140E6"/>
    <w:rsid w:val="00E14646"/>
    <w:rsid w:val="00E14965"/>
    <w:rsid w:val="00E149C2"/>
    <w:rsid w:val="00E14A8B"/>
    <w:rsid w:val="00E14D63"/>
    <w:rsid w:val="00E14FE7"/>
    <w:rsid w:val="00E150F6"/>
    <w:rsid w:val="00E152AD"/>
    <w:rsid w:val="00E1545D"/>
    <w:rsid w:val="00E15C1D"/>
    <w:rsid w:val="00E16708"/>
    <w:rsid w:val="00E167C4"/>
    <w:rsid w:val="00E1775D"/>
    <w:rsid w:val="00E1793B"/>
    <w:rsid w:val="00E17942"/>
    <w:rsid w:val="00E17960"/>
    <w:rsid w:val="00E17A0F"/>
    <w:rsid w:val="00E17A34"/>
    <w:rsid w:val="00E17AD7"/>
    <w:rsid w:val="00E17F14"/>
    <w:rsid w:val="00E20087"/>
    <w:rsid w:val="00E207D5"/>
    <w:rsid w:val="00E209DF"/>
    <w:rsid w:val="00E20AD9"/>
    <w:rsid w:val="00E218BB"/>
    <w:rsid w:val="00E21E28"/>
    <w:rsid w:val="00E222D9"/>
    <w:rsid w:val="00E2257A"/>
    <w:rsid w:val="00E22C38"/>
    <w:rsid w:val="00E22E8D"/>
    <w:rsid w:val="00E22EAD"/>
    <w:rsid w:val="00E22F9B"/>
    <w:rsid w:val="00E2381F"/>
    <w:rsid w:val="00E238CA"/>
    <w:rsid w:val="00E23E7F"/>
    <w:rsid w:val="00E241FF"/>
    <w:rsid w:val="00E24AE7"/>
    <w:rsid w:val="00E25322"/>
    <w:rsid w:val="00E256E0"/>
    <w:rsid w:val="00E25A28"/>
    <w:rsid w:val="00E26831"/>
    <w:rsid w:val="00E2732D"/>
    <w:rsid w:val="00E27604"/>
    <w:rsid w:val="00E27C5F"/>
    <w:rsid w:val="00E27C9E"/>
    <w:rsid w:val="00E27CA7"/>
    <w:rsid w:val="00E308F4"/>
    <w:rsid w:val="00E3166C"/>
    <w:rsid w:val="00E317D3"/>
    <w:rsid w:val="00E3191B"/>
    <w:rsid w:val="00E31FAB"/>
    <w:rsid w:val="00E32B8D"/>
    <w:rsid w:val="00E33060"/>
    <w:rsid w:val="00E3314D"/>
    <w:rsid w:val="00E33356"/>
    <w:rsid w:val="00E338D8"/>
    <w:rsid w:val="00E33D88"/>
    <w:rsid w:val="00E33ECD"/>
    <w:rsid w:val="00E33F33"/>
    <w:rsid w:val="00E343A0"/>
    <w:rsid w:val="00E348B2"/>
    <w:rsid w:val="00E348F5"/>
    <w:rsid w:val="00E363AE"/>
    <w:rsid w:val="00E36FC9"/>
    <w:rsid w:val="00E3722B"/>
    <w:rsid w:val="00E37267"/>
    <w:rsid w:val="00E3749E"/>
    <w:rsid w:val="00E37801"/>
    <w:rsid w:val="00E37EC6"/>
    <w:rsid w:val="00E403BC"/>
    <w:rsid w:val="00E41517"/>
    <w:rsid w:val="00E41CA0"/>
    <w:rsid w:val="00E41DD4"/>
    <w:rsid w:val="00E41ECE"/>
    <w:rsid w:val="00E4247C"/>
    <w:rsid w:val="00E427D5"/>
    <w:rsid w:val="00E429F1"/>
    <w:rsid w:val="00E42E36"/>
    <w:rsid w:val="00E42ED2"/>
    <w:rsid w:val="00E436BC"/>
    <w:rsid w:val="00E437BD"/>
    <w:rsid w:val="00E4387E"/>
    <w:rsid w:val="00E439FD"/>
    <w:rsid w:val="00E43B6F"/>
    <w:rsid w:val="00E440D8"/>
    <w:rsid w:val="00E44121"/>
    <w:rsid w:val="00E44455"/>
    <w:rsid w:val="00E4475A"/>
    <w:rsid w:val="00E447DD"/>
    <w:rsid w:val="00E44F3C"/>
    <w:rsid w:val="00E45688"/>
    <w:rsid w:val="00E457E6"/>
    <w:rsid w:val="00E45B9D"/>
    <w:rsid w:val="00E4623E"/>
    <w:rsid w:val="00E464CE"/>
    <w:rsid w:val="00E46A09"/>
    <w:rsid w:val="00E47465"/>
    <w:rsid w:val="00E476F8"/>
    <w:rsid w:val="00E47727"/>
    <w:rsid w:val="00E47A90"/>
    <w:rsid w:val="00E47B1B"/>
    <w:rsid w:val="00E47CE0"/>
    <w:rsid w:val="00E50478"/>
    <w:rsid w:val="00E50A70"/>
    <w:rsid w:val="00E50BFD"/>
    <w:rsid w:val="00E50FD2"/>
    <w:rsid w:val="00E51289"/>
    <w:rsid w:val="00E5133A"/>
    <w:rsid w:val="00E51760"/>
    <w:rsid w:val="00E51972"/>
    <w:rsid w:val="00E51B11"/>
    <w:rsid w:val="00E51F1E"/>
    <w:rsid w:val="00E51F2C"/>
    <w:rsid w:val="00E5218C"/>
    <w:rsid w:val="00E521F5"/>
    <w:rsid w:val="00E52934"/>
    <w:rsid w:val="00E52984"/>
    <w:rsid w:val="00E531FD"/>
    <w:rsid w:val="00E5329F"/>
    <w:rsid w:val="00E53893"/>
    <w:rsid w:val="00E53922"/>
    <w:rsid w:val="00E53A6C"/>
    <w:rsid w:val="00E53C8C"/>
    <w:rsid w:val="00E540D9"/>
    <w:rsid w:val="00E54620"/>
    <w:rsid w:val="00E546E6"/>
    <w:rsid w:val="00E5472E"/>
    <w:rsid w:val="00E5483A"/>
    <w:rsid w:val="00E54D95"/>
    <w:rsid w:val="00E55004"/>
    <w:rsid w:val="00E554A2"/>
    <w:rsid w:val="00E554C0"/>
    <w:rsid w:val="00E554EC"/>
    <w:rsid w:val="00E556BA"/>
    <w:rsid w:val="00E55B5E"/>
    <w:rsid w:val="00E55ECD"/>
    <w:rsid w:val="00E562C1"/>
    <w:rsid w:val="00E56319"/>
    <w:rsid w:val="00E56989"/>
    <w:rsid w:val="00E56D2E"/>
    <w:rsid w:val="00E578FB"/>
    <w:rsid w:val="00E57972"/>
    <w:rsid w:val="00E57F19"/>
    <w:rsid w:val="00E60056"/>
    <w:rsid w:val="00E60484"/>
    <w:rsid w:val="00E60792"/>
    <w:rsid w:val="00E60855"/>
    <w:rsid w:val="00E60D3B"/>
    <w:rsid w:val="00E60EB1"/>
    <w:rsid w:val="00E6113B"/>
    <w:rsid w:val="00E612AB"/>
    <w:rsid w:val="00E61522"/>
    <w:rsid w:val="00E6177C"/>
    <w:rsid w:val="00E61A47"/>
    <w:rsid w:val="00E61DD6"/>
    <w:rsid w:val="00E61EA4"/>
    <w:rsid w:val="00E621CC"/>
    <w:rsid w:val="00E62492"/>
    <w:rsid w:val="00E62530"/>
    <w:rsid w:val="00E628B3"/>
    <w:rsid w:val="00E62955"/>
    <w:rsid w:val="00E629C7"/>
    <w:rsid w:val="00E62BF5"/>
    <w:rsid w:val="00E62E2F"/>
    <w:rsid w:val="00E633D5"/>
    <w:rsid w:val="00E633E6"/>
    <w:rsid w:val="00E63576"/>
    <w:rsid w:val="00E63D37"/>
    <w:rsid w:val="00E63D9C"/>
    <w:rsid w:val="00E640AC"/>
    <w:rsid w:val="00E64A02"/>
    <w:rsid w:val="00E64EE3"/>
    <w:rsid w:val="00E65864"/>
    <w:rsid w:val="00E659F5"/>
    <w:rsid w:val="00E65C1D"/>
    <w:rsid w:val="00E65D9B"/>
    <w:rsid w:val="00E65F28"/>
    <w:rsid w:val="00E66215"/>
    <w:rsid w:val="00E662A3"/>
    <w:rsid w:val="00E663C7"/>
    <w:rsid w:val="00E66B59"/>
    <w:rsid w:val="00E66C03"/>
    <w:rsid w:val="00E670A9"/>
    <w:rsid w:val="00E671CA"/>
    <w:rsid w:val="00E676FF"/>
    <w:rsid w:val="00E67705"/>
    <w:rsid w:val="00E67DB8"/>
    <w:rsid w:val="00E702CB"/>
    <w:rsid w:val="00E70B4D"/>
    <w:rsid w:val="00E70EAC"/>
    <w:rsid w:val="00E70F60"/>
    <w:rsid w:val="00E71175"/>
    <w:rsid w:val="00E712A5"/>
    <w:rsid w:val="00E71603"/>
    <w:rsid w:val="00E718A3"/>
    <w:rsid w:val="00E71B3F"/>
    <w:rsid w:val="00E71C27"/>
    <w:rsid w:val="00E71E05"/>
    <w:rsid w:val="00E725BE"/>
    <w:rsid w:val="00E725F2"/>
    <w:rsid w:val="00E729B1"/>
    <w:rsid w:val="00E72B6E"/>
    <w:rsid w:val="00E72EA4"/>
    <w:rsid w:val="00E72ECE"/>
    <w:rsid w:val="00E72EDC"/>
    <w:rsid w:val="00E7307A"/>
    <w:rsid w:val="00E73745"/>
    <w:rsid w:val="00E737A6"/>
    <w:rsid w:val="00E73A17"/>
    <w:rsid w:val="00E73F68"/>
    <w:rsid w:val="00E74239"/>
    <w:rsid w:val="00E7435E"/>
    <w:rsid w:val="00E74473"/>
    <w:rsid w:val="00E7453D"/>
    <w:rsid w:val="00E74550"/>
    <w:rsid w:val="00E74606"/>
    <w:rsid w:val="00E747DE"/>
    <w:rsid w:val="00E749CE"/>
    <w:rsid w:val="00E7528D"/>
    <w:rsid w:val="00E75626"/>
    <w:rsid w:val="00E75B1F"/>
    <w:rsid w:val="00E75F3A"/>
    <w:rsid w:val="00E76251"/>
    <w:rsid w:val="00E76553"/>
    <w:rsid w:val="00E76890"/>
    <w:rsid w:val="00E76897"/>
    <w:rsid w:val="00E77253"/>
    <w:rsid w:val="00E77A13"/>
    <w:rsid w:val="00E77C38"/>
    <w:rsid w:val="00E77E70"/>
    <w:rsid w:val="00E77EB5"/>
    <w:rsid w:val="00E80085"/>
    <w:rsid w:val="00E80571"/>
    <w:rsid w:val="00E805C8"/>
    <w:rsid w:val="00E8090D"/>
    <w:rsid w:val="00E80997"/>
    <w:rsid w:val="00E80A3A"/>
    <w:rsid w:val="00E8143F"/>
    <w:rsid w:val="00E814EE"/>
    <w:rsid w:val="00E81627"/>
    <w:rsid w:val="00E81E2A"/>
    <w:rsid w:val="00E8203E"/>
    <w:rsid w:val="00E822E2"/>
    <w:rsid w:val="00E8237B"/>
    <w:rsid w:val="00E82898"/>
    <w:rsid w:val="00E82989"/>
    <w:rsid w:val="00E83DDE"/>
    <w:rsid w:val="00E84DD3"/>
    <w:rsid w:val="00E8518A"/>
    <w:rsid w:val="00E85425"/>
    <w:rsid w:val="00E8599C"/>
    <w:rsid w:val="00E85EBE"/>
    <w:rsid w:val="00E861DA"/>
    <w:rsid w:val="00E8628F"/>
    <w:rsid w:val="00E86574"/>
    <w:rsid w:val="00E86A8B"/>
    <w:rsid w:val="00E86EDB"/>
    <w:rsid w:val="00E87E6C"/>
    <w:rsid w:val="00E904AB"/>
    <w:rsid w:val="00E9057E"/>
    <w:rsid w:val="00E907C2"/>
    <w:rsid w:val="00E908C5"/>
    <w:rsid w:val="00E91D79"/>
    <w:rsid w:val="00E91E5B"/>
    <w:rsid w:val="00E91EE8"/>
    <w:rsid w:val="00E923DB"/>
    <w:rsid w:val="00E926CF"/>
    <w:rsid w:val="00E92703"/>
    <w:rsid w:val="00E92769"/>
    <w:rsid w:val="00E929FE"/>
    <w:rsid w:val="00E92CDE"/>
    <w:rsid w:val="00E92D21"/>
    <w:rsid w:val="00E92D36"/>
    <w:rsid w:val="00E92F84"/>
    <w:rsid w:val="00E932F6"/>
    <w:rsid w:val="00E93533"/>
    <w:rsid w:val="00E9371B"/>
    <w:rsid w:val="00E9390E"/>
    <w:rsid w:val="00E93A2D"/>
    <w:rsid w:val="00E93E8A"/>
    <w:rsid w:val="00E93FCC"/>
    <w:rsid w:val="00E942B7"/>
    <w:rsid w:val="00E94A79"/>
    <w:rsid w:val="00E94B32"/>
    <w:rsid w:val="00E94D70"/>
    <w:rsid w:val="00E94DAF"/>
    <w:rsid w:val="00E953BE"/>
    <w:rsid w:val="00E9592C"/>
    <w:rsid w:val="00E95BE7"/>
    <w:rsid w:val="00E95F45"/>
    <w:rsid w:val="00E96076"/>
    <w:rsid w:val="00E960B0"/>
    <w:rsid w:val="00E96171"/>
    <w:rsid w:val="00E964DA"/>
    <w:rsid w:val="00E96E0B"/>
    <w:rsid w:val="00E97183"/>
    <w:rsid w:val="00E97263"/>
    <w:rsid w:val="00E972E3"/>
    <w:rsid w:val="00E975B2"/>
    <w:rsid w:val="00E97775"/>
    <w:rsid w:val="00E977B9"/>
    <w:rsid w:val="00E97E95"/>
    <w:rsid w:val="00EA0C1A"/>
    <w:rsid w:val="00EA0C5C"/>
    <w:rsid w:val="00EA0E2D"/>
    <w:rsid w:val="00EA15A9"/>
    <w:rsid w:val="00EA1979"/>
    <w:rsid w:val="00EA1B4B"/>
    <w:rsid w:val="00EA2213"/>
    <w:rsid w:val="00EA2513"/>
    <w:rsid w:val="00EA267A"/>
    <w:rsid w:val="00EA27BF"/>
    <w:rsid w:val="00EA3040"/>
    <w:rsid w:val="00EA3CB2"/>
    <w:rsid w:val="00EA3E42"/>
    <w:rsid w:val="00EA408B"/>
    <w:rsid w:val="00EA4523"/>
    <w:rsid w:val="00EA4675"/>
    <w:rsid w:val="00EA5208"/>
    <w:rsid w:val="00EA5465"/>
    <w:rsid w:val="00EA600A"/>
    <w:rsid w:val="00EA608D"/>
    <w:rsid w:val="00EA67BA"/>
    <w:rsid w:val="00EA6979"/>
    <w:rsid w:val="00EA6B08"/>
    <w:rsid w:val="00EA6D22"/>
    <w:rsid w:val="00EA6EF0"/>
    <w:rsid w:val="00EA7076"/>
    <w:rsid w:val="00EA72F9"/>
    <w:rsid w:val="00EA76ED"/>
    <w:rsid w:val="00EA78E4"/>
    <w:rsid w:val="00EB0128"/>
    <w:rsid w:val="00EB01A3"/>
    <w:rsid w:val="00EB0307"/>
    <w:rsid w:val="00EB08F3"/>
    <w:rsid w:val="00EB145D"/>
    <w:rsid w:val="00EB14AC"/>
    <w:rsid w:val="00EB1D9A"/>
    <w:rsid w:val="00EB1F27"/>
    <w:rsid w:val="00EB2152"/>
    <w:rsid w:val="00EB261C"/>
    <w:rsid w:val="00EB26FE"/>
    <w:rsid w:val="00EB29EE"/>
    <w:rsid w:val="00EB2A9E"/>
    <w:rsid w:val="00EB2AE1"/>
    <w:rsid w:val="00EB2B2F"/>
    <w:rsid w:val="00EB36E5"/>
    <w:rsid w:val="00EB3D58"/>
    <w:rsid w:val="00EB488B"/>
    <w:rsid w:val="00EB4EDC"/>
    <w:rsid w:val="00EB525D"/>
    <w:rsid w:val="00EB57A0"/>
    <w:rsid w:val="00EB5858"/>
    <w:rsid w:val="00EB5AF9"/>
    <w:rsid w:val="00EB5B6D"/>
    <w:rsid w:val="00EB5BA4"/>
    <w:rsid w:val="00EB5BD6"/>
    <w:rsid w:val="00EB62C5"/>
    <w:rsid w:val="00EB6BE7"/>
    <w:rsid w:val="00EB7755"/>
    <w:rsid w:val="00EB77D7"/>
    <w:rsid w:val="00EB7866"/>
    <w:rsid w:val="00EB7D47"/>
    <w:rsid w:val="00EB7F69"/>
    <w:rsid w:val="00EC0430"/>
    <w:rsid w:val="00EC245A"/>
    <w:rsid w:val="00EC2692"/>
    <w:rsid w:val="00EC2B32"/>
    <w:rsid w:val="00EC2FA7"/>
    <w:rsid w:val="00EC302A"/>
    <w:rsid w:val="00EC30F7"/>
    <w:rsid w:val="00EC3190"/>
    <w:rsid w:val="00EC33A6"/>
    <w:rsid w:val="00EC3482"/>
    <w:rsid w:val="00EC38D6"/>
    <w:rsid w:val="00EC391C"/>
    <w:rsid w:val="00EC398D"/>
    <w:rsid w:val="00EC3BDF"/>
    <w:rsid w:val="00EC4952"/>
    <w:rsid w:val="00EC4BE2"/>
    <w:rsid w:val="00EC4DFB"/>
    <w:rsid w:val="00EC5264"/>
    <w:rsid w:val="00EC54E9"/>
    <w:rsid w:val="00EC5519"/>
    <w:rsid w:val="00EC5C89"/>
    <w:rsid w:val="00EC5F2E"/>
    <w:rsid w:val="00EC6AB2"/>
    <w:rsid w:val="00EC73E9"/>
    <w:rsid w:val="00EC74FC"/>
    <w:rsid w:val="00EC7740"/>
    <w:rsid w:val="00EC781C"/>
    <w:rsid w:val="00EC7A9F"/>
    <w:rsid w:val="00EC7AA9"/>
    <w:rsid w:val="00EC7BA1"/>
    <w:rsid w:val="00ED005C"/>
    <w:rsid w:val="00ED0193"/>
    <w:rsid w:val="00ED0669"/>
    <w:rsid w:val="00ED0989"/>
    <w:rsid w:val="00ED09BC"/>
    <w:rsid w:val="00ED0CF0"/>
    <w:rsid w:val="00ED104D"/>
    <w:rsid w:val="00ED13A6"/>
    <w:rsid w:val="00ED196B"/>
    <w:rsid w:val="00ED212E"/>
    <w:rsid w:val="00ED21B4"/>
    <w:rsid w:val="00ED23F2"/>
    <w:rsid w:val="00ED2690"/>
    <w:rsid w:val="00ED2F6A"/>
    <w:rsid w:val="00ED33C1"/>
    <w:rsid w:val="00ED34BF"/>
    <w:rsid w:val="00ED4173"/>
    <w:rsid w:val="00ED47D9"/>
    <w:rsid w:val="00ED503E"/>
    <w:rsid w:val="00ED5238"/>
    <w:rsid w:val="00ED55A8"/>
    <w:rsid w:val="00ED5BB6"/>
    <w:rsid w:val="00ED61CC"/>
    <w:rsid w:val="00ED6302"/>
    <w:rsid w:val="00ED6E1C"/>
    <w:rsid w:val="00ED6F17"/>
    <w:rsid w:val="00ED7D8A"/>
    <w:rsid w:val="00EE0141"/>
    <w:rsid w:val="00EE0246"/>
    <w:rsid w:val="00EE0412"/>
    <w:rsid w:val="00EE05D7"/>
    <w:rsid w:val="00EE085E"/>
    <w:rsid w:val="00EE0A7A"/>
    <w:rsid w:val="00EE1052"/>
    <w:rsid w:val="00EE149F"/>
    <w:rsid w:val="00EE14E1"/>
    <w:rsid w:val="00EE187F"/>
    <w:rsid w:val="00EE1B1C"/>
    <w:rsid w:val="00EE1FAB"/>
    <w:rsid w:val="00EE2167"/>
    <w:rsid w:val="00EE235B"/>
    <w:rsid w:val="00EE243E"/>
    <w:rsid w:val="00EE2595"/>
    <w:rsid w:val="00EE286F"/>
    <w:rsid w:val="00EE28E6"/>
    <w:rsid w:val="00EE298A"/>
    <w:rsid w:val="00EE29C8"/>
    <w:rsid w:val="00EE38AF"/>
    <w:rsid w:val="00EE3B5A"/>
    <w:rsid w:val="00EE3BF9"/>
    <w:rsid w:val="00EE41BC"/>
    <w:rsid w:val="00EE4719"/>
    <w:rsid w:val="00EE48FF"/>
    <w:rsid w:val="00EE4A7F"/>
    <w:rsid w:val="00EE546C"/>
    <w:rsid w:val="00EE56C1"/>
    <w:rsid w:val="00EE5B2A"/>
    <w:rsid w:val="00EE5E03"/>
    <w:rsid w:val="00EE62EF"/>
    <w:rsid w:val="00EE69D6"/>
    <w:rsid w:val="00EE69E9"/>
    <w:rsid w:val="00EE6EEA"/>
    <w:rsid w:val="00EE721D"/>
    <w:rsid w:val="00EE7349"/>
    <w:rsid w:val="00EF05CF"/>
    <w:rsid w:val="00EF060E"/>
    <w:rsid w:val="00EF061E"/>
    <w:rsid w:val="00EF0B9B"/>
    <w:rsid w:val="00EF15D4"/>
    <w:rsid w:val="00EF1645"/>
    <w:rsid w:val="00EF175C"/>
    <w:rsid w:val="00EF1B14"/>
    <w:rsid w:val="00EF1DA6"/>
    <w:rsid w:val="00EF1DA7"/>
    <w:rsid w:val="00EF205E"/>
    <w:rsid w:val="00EF2799"/>
    <w:rsid w:val="00EF287C"/>
    <w:rsid w:val="00EF2901"/>
    <w:rsid w:val="00EF2E46"/>
    <w:rsid w:val="00EF2F71"/>
    <w:rsid w:val="00EF2FBC"/>
    <w:rsid w:val="00EF30C9"/>
    <w:rsid w:val="00EF31C3"/>
    <w:rsid w:val="00EF3622"/>
    <w:rsid w:val="00EF3D53"/>
    <w:rsid w:val="00EF42E4"/>
    <w:rsid w:val="00EF4DDD"/>
    <w:rsid w:val="00EF4E28"/>
    <w:rsid w:val="00EF50F2"/>
    <w:rsid w:val="00EF524D"/>
    <w:rsid w:val="00EF530C"/>
    <w:rsid w:val="00EF53A7"/>
    <w:rsid w:val="00EF5900"/>
    <w:rsid w:val="00EF5AF5"/>
    <w:rsid w:val="00EF617D"/>
    <w:rsid w:val="00EF62E4"/>
    <w:rsid w:val="00EF70C2"/>
    <w:rsid w:val="00EF7ECD"/>
    <w:rsid w:val="00F002C8"/>
    <w:rsid w:val="00F004E0"/>
    <w:rsid w:val="00F005D1"/>
    <w:rsid w:val="00F006B0"/>
    <w:rsid w:val="00F00A02"/>
    <w:rsid w:val="00F01071"/>
    <w:rsid w:val="00F010AA"/>
    <w:rsid w:val="00F014A2"/>
    <w:rsid w:val="00F0176C"/>
    <w:rsid w:val="00F01A0D"/>
    <w:rsid w:val="00F01D55"/>
    <w:rsid w:val="00F021C3"/>
    <w:rsid w:val="00F026EA"/>
    <w:rsid w:val="00F028DC"/>
    <w:rsid w:val="00F028F1"/>
    <w:rsid w:val="00F02E8A"/>
    <w:rsid w:val="00F0300C"/>
    <w:rsid w:val="00F030B6"/>
    <w:rsid w:val="00F0325D"/>
    <w:rsid w:val="00F03647"/>
    <w:rsid w:val="00F03796"/>
    <w:rsid w:val="00F03798"/>
    <w:rsid w:val="00F03C69"/>
    <w:rsid w:val="00F03E76"/>
    <w:rsid w:val="00F044F3"/>
    <w:rsid w:val="00F04658"/>
    <w:rsid w:val="00F048CE"/>
    <w:rsid w:val="00F04998"/>
    <w:rsid w:val="00F05102"/>
    <w:rsid w:val="00F05181"/>
    <w:rsid w:val="00F05A39"/>
    <w:rsid w:val="00F05D4C"/>
    <w:rsid w:val="00F05E43"/>
    <w:rsid w:val="00F0606E"/>
    <w:rsid w:val="00F06212"/>
    <w:rsid w:val="00F07276"/>
    <w:rsid w:val="00F07784"/>
    <w:rsid w:val="00F077E0"/>
    <w:rsid w:val="00F07868"/>
    <w:rsid w:val="00F07C59"/>
    <w:rsid w:val="00F1025C"/>
    <w:rsid w:val="00F108E6"/>
    <w:rsid w:val="00F11275"/>
    <w:rsid w:val="00F11675"/>
    <w:rsid w:val="00F1187E"/>
    <w:rsid w:val="00F118E7"/>
    <w:rsid w:val="00F11911"/>
    <w:rsid w:val="00F11EC5"/>
    <w:rsid w:val="00F120BF"/>
    <w:rsid w:val="00F1264E"/>
    <w:rsid w:val="00F12854"/>
    <w:rsid w:val="00F12E2A"/>
    <w:rsid w:val="00F12E71"/>
    <w:rsid w:val="00F130E3"/>
    <w:rsid w:val="00F13F82"/>
    <w:rsid w:val="00F14133"/>
    <w:rsid w:val="00F141D1"/>
    <w:rsid w:val="00F14394"/>
    <w:rsid w:val="00F146A9"/>
    <w:rsid w:val="00F14820"/>
    <w:rsid w:val="00F148C0"/>
    <w:rsid w:val="00F14CEB"/>
    <w:rsid w:val="00F155F4"/>
    <w:rsid w:val="00F156BB"/>
    <w:rsid w:val="00F15B18"/>
    <w:rsid w:val="00F15D90"/>
    <w:rsid w:val="00F162BB"/>
    <w:rsid w:val="00F16344"/>
    <w:rsid w:val="00F16528"/>
    <w:rsid w:val="00F168EA"/>
    <w:rsid w:val="00F179C7"/>
    <w:rsid w:val="00F17D41"/>
    <w:rsid w:val="00F20237"/>
    <w:rsid w:val="00F207A7"/>
    <w:rsid w:val="00F21738"/>
    <w:rsid w:val="00F2196E"/>
    <w:rsid w:val="00F21C62"/>
    <w:rsid w:val="00F21D21"/>
    <w:rsid w:val="00F220AE"/>
    <w:rsid w:val="00F222D7"/>
    <w:rsid w:val="00F22ACB"/>
    <w:rsid w:val="00F230DA"/>
    <w:rsid w:val="00F233BA"/>
    <w:rsid w:val="00F23485"/>
    <w:rsid w:val="00F235EE"/>
    <w:rsid w:val="00F23CE2"/>
    <w:rsid w:val="00F2408C"/>
    <w:rsid w:val="00F2457D"/>
    <w:rsid w:val="00F24854"/>
    <w:rsid w:val="00F251F6"/>
    <w:rsid w:val="00F252EB"/>
    <w:rsid w:val="00F255F0"/>
    <w:rsid w:val="00F255FB"/>
    <w:rsid w:val="00F258C2"/>
    <w:rsid w:val="00F259FF"/>
    <w:rsid w:val="00F25A16"/>
    <w:rsid w:val="00F25CCD"/>
    <w:rsid w:val="00F25F34"/>
    <w:rsid w:val="00F25F74"/>
    <w:rsid w:val="00F26CF7"/>
    <w:rsid w:val="00F26D06"/>
    <w:rsid w:val="00F27241"/>
    <w:rsid w:val="00F273CD"/>
    <w:rsid w:val="00F27804"/>
    <w:rsid w:val="00F27A55"/>
    <w:rsid w:val="00F303C0"/>
    <w:rsid w:val="00F304F0"/>
    <w:rsid w:val="00F3083E"/>
    <w:rsid w:val="00F30C34"/>
    <w:rsid w:val="00F30F9F"/>
    <w:rsid w:val="00F3148D"/>
    <w:rsid w:val="00F31F66"/>
    <w:rsid w:val="00F320BA"/>
    <w:rsid w:val="00F331ED"/>
    <w:rsid w:val="00F33447"/>
    <w:rsid w:val="00F334A2"/>
    <w:rsid w:val="00F33788"/>
    <w:rsid w:val="00F33996"/>
    <w:rsid w:val="00F33A0D"/>
    <w:rsid w:val="00F33A50"/>
    <w:rsid w:val="00F33DBA"/>
    <w:rsid w:val="00F34025"/>
    <w:rsid w:val="00F3414B"/>
    <w:rsid w:val="00F343B4"/>
    <w:rsid w:val="00F3442D"/>
    <w:rsid w:val="00F348DC"/>
    <w:rsid w:val="00F34907"/>
    <w:rsid w:val="00F35A88"/>
    <w:rsid w:val="00F35B13"/>
    <w:rsid w:val="00F35C54"/>
    <w:rsid w:val="00F36152"/>
    <w:rsid w:val="00F3642D"/>
    <w:rsid w:val="00F36551"/>
    <w:rsid w:val="00F36A03"/>
    <w:rsid w:val="00F36ABD"/>
    <w:rsid w:val="00F36BD0"/>
    <w:rsid w:val="00F376D4"/>
    <w:rsid w:val="00F405CD"/>
    <w:rsid w:val="00F409DF"/>
    <w:rsid w:val="00F40BD7"/>
    <w:rsid w:val="00F40E28"/>
    <w:rsid w:val="00F40F99"/>
    <w:rsid w:val="00F4130A"/>
    <w:rsid w:val="00F414B7"/>
    <w:rsid w:val="00F415E1"/>
    <w:rsid w:val="00F41A39"/>
    <w:rsid w:val="00F41AA7"/>
    <w:rsid w:val="00F41BA2"/>
    <w:rsid w:val="00F41DF3"/>
    <w:rsid w:val="00F42054"/>
    <w:rsid w:val="00F4248B"/>
    <w:rsid w:val="00F42AD0"/>
    <w:rsid w:val="00F42F12"/>
    <w:rsid w:val="00F43752"/>
    <w:rsid w:val="00F437D0"/>
    <w:rsid w:val="00F43891"/>
    <w:rsid w:val="00F43ACB"/>
    <w:rsid w:val="00F44174"/>
    <w:rsid w:val="00F4462E"/>
    <w:rsid w:val="00F44DD5"/>
    <w:rsid w:val="00F45134"/>
    <w:rsid w:val="00F45217"/>
    <w:rsid w:val="00F4573C"/>
    <w:rsid w:val="00F45BC8"/>
    <w:rsid w:val="00F464E4"/>
    <w:rsid w:val="00F466A4"/>
    <w:rsid w:val="00F466E3"/>
    <w:rsid w:val="00F46E24"/>
    <w:rsid w:val="00F46E32"/>
    <w:rsid w:val="00F47177"/>
    <w:rsid w:val="00F471EE"/>
    <w:rsid w:val="00F472D2"/>
    <w:rsid w:val="00F4747C"/>
    <w:rsid w:val="00F47521"/>
    <w:rsid w:val="00F47A72"/>
    <w:rsid w:val="00F47CC6"/>
    <w:rsid w:val="00F47D4F"/>
    <w:rsid w:val="00F47E91"/>
    <w:rsid w:val="00F500DA"/>
    <w:rsid w:val="00F502FC"/>
    <w:rsid w:val="00F5054B"/>
    <w:rsid w:val="00F50676"/>
    <w:rsid w:val="00F50680"/>
    <w:rsid w:val="00F50772"/>
    <w:rsid w:val="00F507A3"/>
    <w:rsid w:val="00F513CF"/>
    <w:rsid w:val="00F516F0"/>
    <w:rsid w:val="00F5213A"/>
    <w:rsid w:val="00F5226F"/>
    <w:rsid w:val="00F524EE"/>
    <w:rsid w:val="00F52CEF"/>
    <w:rsid w:val="00F52D67"/>
    <w:rsid w:val="00F53661"/>
    <w:rsid w:val="00F53A0C"/>
    <w:rsid w:val="00F53AAC"/>
    <w:rsid w:val="00F53B18"/>
    <w:rsid w:val="00F541F9"/>
    <w:rsid w:val="00F54362"/>
    <w:rsid w:val="00F54908"/>
    <w:rsid w:val="00F549CE"/>
    <w:rsid w:val="00F54AB0"/>
    <w:rsid w:val="00F54D39"/>
    <w:rsid w:val="00F54EAF"/>
    <w:rsid w:val="00F5562E"/>
    <w:rsid w:val="00F558C1"/>
    <w:rsid w:val="00F559F4"/>
    <w:rsid w:val="00F56279"/>
    <w:rsid w:val="00F56282"/>
    <w:rsid w:val="00F563B3"/>
    <w:rsid w:val="00F57609"/>
    <w:rsid w:val="00F57CEE"/>
    <w:rsid w:val="00F606F2"/>
    <w:rsid w:val="00F60DAF"/>
    <w:rsid w:val="00F612AA"/>
    <w:rsid w:val="00F6284E"/>
    <w:rsid w:val="00F628E3"/>
    <w:rsid w:val="00F62D69"/>
    <w:rsid w:val="00F6315C"/>
    <w:rsid w:val="00F636B8"/>
    <w:rsid w:val="00F6427D"/>
    <w:rsid w:val="00F643A5"/>
    <w:rsid w:val="00F648FF"/>
    <w:rsid w:val="00F64B18"/>
    <w:rsid w:val="00F64FBE"/>
    <w:rsid w:val="00F65051"/>
    <w:rsid w:val="00F659D4"/>
    <w:rsid w:val="00F65C9B"/>
    <w:rsid w:val="00F66127"/>
    <w:rsid w:val="00F664F9"/>
    <w:rsid w:val="00F6677B"/>
    <w:rsid w:val="00F667A4"/>
    <w:rsid w:val="00F66B40"/>
    <w:rsid w:val="00F66BF6"/>
    <w:rsid w:val="00F66E18"/>
    <w:rsid w:val="00F6748B"/>
    <w:rsid w:val="00F67819"/>
    <w:rsid w:val="00F6787B"/>
    <w:rsid w:val="00F6788B"/>
    <w:rsid w:val="00F679A5"/>
    <w:rsid w:val="00F67B5C"/>
    <w:rsid w:val="00F701BD"/>
    <w:rsid w:val="00F7052C"/>
    <w:rsid w:val="00F7061E"/>
    <w:rsid w:val="00F70980"/>
    <w:rsid w:val="00F70A8F"/>
    <w:rsid w:val="00F7114D"/>
    <w:rsid w:val="00F7117C"/>
    <w:rsid w:val="00F712CB"/>
    <w:rsid w:val="00F71E0B"/>
    <w:rsid w:val="00F71F78"/>
    <w:rsid w:val="00F71FE8"/>
    <w:rsid w:val="00F71FF5"/>
    <w:rsid w:val="00F726CC"/>
    <w:rsid w:val="00F727FF"/>
    <w:rsid w:val="00F72AFF"/>
    <w:rsid w:val="00F72F34"/>
    <w:rsid w:val="00F73235"/>
    <w:rsid w:val="00F734ED"/>
    <w:rsid w:val="00F73784"/>
    <w:rsid w:val="00F73979"/>
    <w:rsid w:val="00F73BDB"/>
    <w:rsid w:val="00F73F96"/>
    <w:rsid w:val="00F74556"/>
    <w:rsid w:val="00F745EB"/>
    <w:rsid w:val="00F74B76"/>
    <w:rsid w:val="00F74BE2"/>
    <w:rsid w:val="00F75C93"/>
    <w:rsid w:val="00F75F09"/>
    <w:rsid w:val="00F75FF5"/>
    <w:rsid w:val="00F7621E"/>
    <w:rsid w:val="00F7633A"/>
    <w:rsid w:val="00F76396"/>
    <w:rsid w:val="00F76744"/>
    <w:rsid w:val="00F76A0C"/>
    <w:rsid w:val="00F76AB2"/>
    <w:rsid w:val="00F76B01"/>
    <w:rsid w:val="00F76EEA"/>
    <w:rsid w:val="00F7732F"/>
    <w:rsid w:val="00F80A9B"/>
    <w:rsid w:val="00F80D90"/>
    <w:rsid w:val="00F81755"/>
    <w:rsid w:val="00F81827"/>
    <w:rsid w:val="00F826A5"/>
    <w:rsid w:val="00F82B82"/>
    <w:rsid w:val="00F83828"/>
    <w:rsid w:val="00F84200"/>
    <w:rsid w:val="00F843D1"/>
    <w:rsid w:val="00F8456F"/>
    <w:rsid w:val="00F846C5"/>
    <w:rsid w:val="00F84769"/>
    <w:rsid w:val="00F8481D"/>
    <w:rsid w:val="00F84ADD"/>
    <w:rsid w:val="00F84AF1"/>
    <w:rsid w:val="00F84BD4"/>
    <w:rsid w:val="00F85192"/>
    <w:rsid w:val="00F8536F"/>
    <w:rsid w:val="00F856FF"/>
    <w:rsid w:val="00F85AF2"/>
    <w:rsid w:val="00F85C0A"/>
    <w:rsid w:val="00F869AA"/>
    <w:rsid w:val="00F879F5"/>
    <w:rsid w:val="00F90900"/>
    <w:rsid w:val="00F90B94"/>
    <w:rsid w:val="00F90DA8"/>
    <w:rsid w:val="00F90FC5"/>
    <w:rsid w:val="00F91303"/>
    <w:rsid w:val="00F915E8"/>
    <w:rsid w:val="00F917B1"/>
    <w:rsid w:val="00F91BB0"/>
    <w:rsid w:val="00F9272A"/>
    <w:rsid w:val="00F92B6E"/>
    <w:rsid w:val="00F93221"/>
    <w:rsid w:val="00F93903"/>
    <w:rsid w:val="00F93CA8"/>
    <w:rsid w:val="00F93D07"/>
    <w:rsid w:val="00F93D79"/>
    <w:rsid w:val="00F93DC2"/>
    <w:rsid w:val="00F93FAD"/>
    <w:rsid w:val="00F94218"/>
    <w:rsid w:val="00F944AD"/>
    <w:rsid w:val="00F94ACE"/>
    <w:rsid w:val="00F94D56"/>
    <w:rsid w:val="00F9541F"/>
    <w:rsid w:val="00F95494"/>
    <w:rsid w:val="00F9563B"/>
    <w:rsid w:val="00F95FAF"/>
    <w:rsid w:val="00F9605E"/>
    <w:rsid w:val="00F96319"/>
    <w:rsid w:val="00F966C1"/>
    <w:rsid w:val="00F969A6"/>
    <w:rsid w:val="00F96C0C"/>
    <w:rsid w:val="00F96D0E"/>
    <w:rsid w:val="00F975AA"/>
    <w:rsid w:val="00F97A9E"/>
    <w:rsid w:val="00FA0322"/>
    <w:rsid w:val="00FA03A1"/>
    <w:rsid w:val="00FA0680"/>
    <w:rsid w:val="00FA0713"/>
    <w:rsid w:val="00FA0827"/>
    <w:rsid w:val="00FA08AA"/>
    <w:rsid w:val="00FA101F"/>
    <w:rsid w:val="00FA11A8"/>
    <w:rsid w:val="00FA1288"/>
    <w:rsid w:val="00FA1E0A"/>
    <w:rsid w:val="00FA1FAC"/>
    <w:rsid w:val="00FA2419"/>
    <w:rsid w:val="00FA2A22"/>
    <w:rsid w:val="00FA350E"/>
    <w:rsid w:val="00FA38E4"/>
    <w:rsid w:val="00FA39BB"/>
    <w:rsid w:val="00FA3B6E"/>
    <w:rsid w:val="00FA3D67"/>
    <w:rsid w:val="00FA428B"/>
    <w:rsid w:val="00FA434C"/>
    <w:rsid w:val="00FA4749"/>
    <w:rsid w:val="00FA4A2E"/>
    <w:rsid w:val="00FA52C4"/>
    <w:rsid w:val="00FA53C5"/>
    <w:rsid w:val="00FA5F59"/>
    <w:rsid w:val="00FA60A2"/>
    <w:rsid w:val="00FA63FC"/>
    <w:rsid w:val="00FA6A15"/>
    <w:rsid w:val="00FA6E5C"/>
    <w:rsid w:val="00FA7608"/>
    <w:rsid w:val="00FA7633"/>
    <w:rsid w:val="00FA7CE2"/>
    <w:rsid w:val="00FA7E89"/>
    <w:rsid w:val="00FA7EA6"/>
    <w:rsid w:val="00FA7FFD"/>
    <w:rsid w:val="00FB0049"/>
    <w:rsid w:val="00FB060A"/>
    <w:rsid w:val="00FB094F"/>
    <w:rsid w:val="00FB0AFE"/>
    <w:rsid w:val="00FB13D9"/>
    <w:rsid w:val="00FB15F2"/>
    <w:rsid w:val="00FB1D46"/>
    <w:rsid w:val="00FB1D56"/>
    <w:rsid w:val="00FB1FB7"/>
    <w:rsid w:val="00FB22C7"/>
    <w:rsid w:val="00FB22EF"/>
    <w:rsid w:val="00FB284E"/>
    <w:rsid w:val="00FB2960"/>
    <w:rsid w:val="00FB2B49"/>
    <w:rsid w:val="00FB2BEC"/>
    <w:rsid w:val="00FB2F7D"/>
    <w:rsid w:val="00FB33C8"/>
    <w:rsid w:val="00FB33C9"/>
    <w:rsid w:val="00FB4011"/>
    <w:rsid w:val="00FB4160"/>
    <w:rsid w:val="00FB470F"/>
    <w:rsid w:val="00FB48F0"/>
    <w:rsid w:val="00FB49F2"/>
    <w:rsid w:val="00FB4ADA"/>
    <w:rsid w:val="00FB4B0C"/>
    <w:rsid w:val="00FB4BB4"/>
    <w:rsid w:val="00FB4E98"/>
    <w:rsid w:val="00FB4FA8"/>
    <w:rsid w:val="00FB5082"/>
    <w:rsid w:val="00FB52D0"/>
    <w:rsid w:val="00FB59E3"/>
    <w:rsid w:val="00FB5C1E"/>
    <w:rsid w:val="00FB7380"/>
    <w:rsid w:val="00FB75B5"/>
    <w:rsid w:val="00FB7C50"/>
    <w:rsid w:val="00FB7D96"/>
    <w:rsid w:val="00FB7E28"/>
    <w:rsid w:val="00FB7E4A"/>
    <w:rsid w:val="00FC02D4"/>
    <w:rsid w:val="00FC05F5"/>
    <w:rsid w:val="00FC068E"/>
    <w:rsid w:val="00FC0863"/>
    <w:rsid w:val="00FC088A"/>
    <w:rsid w:val="00FC0B0B"/>
    <w:rsid w:val="00FC0C65"/>
    <w:rsid w:val="00FC0D34"/>
    <w:rsid w:val="00FC10B7"/>
    <w:rsid w:val="00FC110F"/>
    <w:rsid w:val="00FC112B"/>
    <w:rsid w:val="00FC1383"/>
    <w:rsid w:val="00FC13BA"/>
    <w:rsid w:val="00FC1690"/>
    <w:rsid w:val="00FC169D"/>
    <w:rsid w:val="00FC25D0"/>
    <w:rsid w:val="00FC25E1"/>
    <w:rsid w:val="00FC2737"/>
    <w:rsid w:val="00FC2BA3"/>
    <w:rsid w:val="00FC2BEC"/>
    <w:rsid w:val="00FC36C9"/>
    <w:rsid w:val="00FC3894"/>
    <w:rsid w:val="00FC3A08"/>
    <w:rsid w:val="00FC3A86"/>
    <w:rsid w:val="00FC3DD9"/>
    <w:rsid w:val="00FC3E30"/>
    <w:rsid w:val="00FC4853"/>
    <w:rsid w:val="00FC58BA"/>
    <w:rsid w:val="00FC590F"/>
    <w:rsid w:val="00FC64DA"/>
    <w:rsid w:val="00FC66DF"/>
    <w:rsid w:val="00FC6C21"/>
    <w:rsid w:val="00FC745B"/>
    <w:rsid w:val="00FC7814"/>
    <w:rsid w:val="00FC7898"/>
    <w:rsid w:val="00FC7A6B"/>
    <w:rsid w:val="00FC7AA4"/>
    <w:rsid w:val="00FC7CFC"/>
    <w:rsid w:val="00FC7E5F"/>
    <w:rsid w:val="00FD002C"/>
    <w:rsid w:val="00FD014B"/>
    <w:rsid w:val="00FD0400"/>
    <w:rsid w:val="00FD05B9"/>
    <w:rsid w:val="00FD05CC"/>
    <w:rsid w:val="00FD0655"/>
    <w:rsid w:val="00FD06C7"/>
    <w:rsid w:val="00FD073E"/>
    <w:rsid w:val="00FD0F5F"/>
    <w:rsid w:val="00FD15C3"/>
    <w:rsid w:val="00FD1725"/>
    <w:rsid w:val="00FD173A"/>
    <w:rsid w:val="00FD18F5"/>
    <w:rsid w:val="00FD1B24"/>
    <w:rsid w:val="00FD2463"/>
    <w:rsid w:val="00FD2D83"/>
    <w:rsid w:val="00FD3663"/>
    <w:rsid w:val="00FD38BD"/>
    <w:rsid w:val="00FD3E5F"/>
    <w:rsid w:val="00FD3EF4"/>
    <w:rsid w:val="00FD3F16"/>
    <w:rsid w:val="00FD40C7"/>
    <w:rsid w:val="00FD45DA"/>
    <w:rsid w:val="00FD4BC6"/>
    <w:rsid w:val="00FD4F92"/>
    <w:rsid w:val="00FD521F"/>
    <w:rsid w:val="00FD53BD"/>
    <w:rsid w:val="00FD5A03"/>
    <w:rsid w:val="00FD5B8D"/>
    <w:rsid w:val="00FD5D40"/>
    <w:rsid w:val="00FD5E1B"/>
    <w:rsid w:val="00FD5E88"/>
    <w:rsid w:val="00FD6051"/>
    <w:rsid w:val="00FD6320"/>
    <w:rsid w:val="00FD633F"/>
    <w:rsid w:val="00FD63E2"/>
    <w:rsid w:val="00FD6AB5"/>
    <w:rsid w:val="00FD6CC9"/>
    <w:rsid w:val="00FD6F4C"/>
    <w:rsid w:val="00FD6FD9"/>
    <w:rsid w:val="00FD708A"/>
    <w:rsid w:val="00FD70F0"/>
    <w:rsid w:val="00FD73C7"/>
    <w:rsid w:val="00FD7BEA"/>
    <w:rsid w:val="00FD7C12"/>
    <w:rsid w:val="00FD7D3A"/>
    <w:rsid w:val="00FE0893"/>
    <w:rsid w:val="00FE0C29"/>
    <w:rsid w:val="00FE0E12"/>
    <w:rsid w:val="00FE1163"/>
    <w:rsid w:val="00FE1282"/>
    <w:rsid w:val="00FE1299"/>
    <w:rsid w:val="00FE1A3F"/>
    <w:rsid w:val="00FE1A4F"/>
    <w:rsid w:val="00FE1B3A"/>
    <w:rsid w:val="00FE1C5C"/>
    <w:rsid w:val="00FE1F3A"/>
    <w:rsid w:val="00FE258C"/>
    <w:rsid w:val="00FE2A12"/>
    <w:rsid w:val="00FE2B53"/>
    <w:rsid w:val="00FE352D"/>
    <w:rsid w:val="00FE362A"/>
    <w:rsid w:val="00FE3E72"/>
    <w:rsid w:val="00FE3ED3"/>
    <w:rsid w:val="00FE4434"/>
    <w:rsid w:val="00FE45F2"/>
    <w:rsid w:val="00FE4611"/>
    <w:rsid w:val="00FE5142"/>
    <w:rsid w:val="00FE554A"/>
    <w:rsid w:val="00FE559C"/>
    <w:rsid w:val="00FE59FF"/>
    <w:rsid w:val="00FE5A41"/>
    <w:rsid w:val="00FE628C"/>
    <w:rsid w:val="00FE62E6"/>
    <w:rsid w:val="00FE6393"/>
    <w:rsid w:val="00FE6414"/>
    <w:rsid w:val="00FE64B8"/>
    <w:rsid w:val="00FE68C8"/>
    <w:rsid w:val="00FE68CC"/>
    <w:rsid w:val="00FE69BB"/>
    <w:rsid w:val="00FE6F9F"/>
    <w:rsid w:val="00FE706E"/>
    <w:rsid w:val="00FE7150"/>
    <w:rsid w:val="00FE785A"/>
    <w:rsid w:val="00FE79F6"/>
    <w:rsid w:val="00FE7BA5"/>
    <w:rsid w:val="00FE7E20"/>
    <w:rsid w:val="00FE7E8B"/>
    <w:rsid w:val="00FE7FAA"/>
    <w:rsid w:val="00FF01D1"/>
    <w:rsid w:val="00FF02FE"/>
    <w:rsid w:val="00FF080B"/>
    <w:rsid w:val="00FF0960"/>
    <w:rsid w:val="00FF10FE"/>
    <w:rsid w:val="00FF1763"/>
    <w:rsid w:val="00FF19B1"/>
    <w:rsid w:val="00FF1E39"/>
    <w:rsid w:val="00FF211A"/>
    <w:rsid w:val="00FF2283"/>
    <w:rsid w:val="00FF276D"/>
    <w:rsid w:val="00FF288A"/>
    <w:rsid w:val="00FF29E1"/>
    <w:rsid w:val="00FF2AA7"/>
    <w:rsid w:val="00FF2AC3"/>
    <w:rsid w:val="00FF2B60"/>
    <w:rsid w:val="00FF2BDD"/>
    <w:rsid w:val="00FF2D70"/>
    <w:rsid w:val="00FF33B5"/>
    <w:rsid w:val="00FF3958"/>
    <w:rsid w:val="00FF3A35"/>
    <w:rsid w:val="00FF3B46"/>
    <w:rsid w:val="00FF3DC1"/>
    <w:rsid w:val="00FF45E1"/>
    <w:rsid w:val="00FF47FC"/>
    <w:rsid w:val="00FF4BFC"/>
    <w:rsid w:val="00FF55F0"/>
    <w:rsid w:val="00FF57F3"/>
    <w:rsid w:val="00FF5A12"/>
    <w:rsid w:val="00FF5A9F"/>
    <w:rsid w:val="00FF5C5A"/>
    <w:rsid w:val="00FF6374"/>
    <w:rsid w:val="00FF6B99"/>
    <w:rsid w:val="00FF76F0"/>
    <w:rsid w:val="00FF781D"/>
    <w:rsid w:val="00FF7C5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Body Text 2" w:uiPriority="99"/>
    <w:lsdException w:name="Hyperlink" w:uiPriority="99"/>
    <w:lsdException w:name="Strong" w:qFormat="1"/>
    <w:lsdException w:name="Emphasis" w:uiPriority="20" w:qFormat="1"/>
    <w:lsdException w:name="annotation subjec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C77566"/>
    <w:rPr>
      <w:sz w:val="24"/>
      <w:szCs w:val="24"/>
      <w:lang w:eastAsia="cs-CZ"/>
    </w:rPr>
  </w:style>
  <w:style w:type="paragraph" w:styleId="Nadpis1">
    <w:name w:val="heading 1"/>
    <w:basedOn w:val="Normlny"/>
    <w:next w:val="Normlny"/>
    <w:link w:val="Nadpis1Char"/>
    <w:uiPriority w:val="9"/>
    <w:qFormat/>
    <w:rsid w:val="00C77566"/>
    <w:pPr>
      <w:keepNext/>
      <w:jc w:val="both"/>
      <w:outlineLvl w:val="0"/>
    </w:pPr>
    <w:rPr>
      <w:sz w:val="28"/>
      <w:u w:val="single"/>
    </w:rPr>
  </w:style>
  <w:style w:type="paragraph" w:styleId="Nadpis2">
    <w:name w:val="heading 2"/>
    <w:basedOn w:val="Normlny"/>
    <w:next w:val="Normlny"/>
    <w:link w:val="Nadpis2Char"/>
    <w:uiPriority w:val="9"/>
    <w:qFormat/>
    <w:rsid w:val="00C77566"/>
    <w:pPr>
      <w:keepNext/>
      <w:jc w:val="center"/>
      <w:outlineLvl w:val="1"/>
    </w:pPr>
    <w:rPr>
      <w:b/>
      <w:bCs/>
      <w:sz w:val="28"/>
    </w:rPr>
  </w:style>
  <w:style w:type="paragraph" w:styleId="Nadpis3">
    <w:name w:val="heading 3"/>
    <w:basedOn w:val="Normlny"/>
    <w:next w:val="Normlny"/>
    <w:qFormat/>
    <w:rsid w:val="00C77566"/>
    <w:pPr>
      <w:keepNext/>
      <w:jc w:val="both"/>
      <w:outlineLvl w:val="2"/>
    </w:pPr>
    <w:rPr>
      <w:sz w:val="28"/>
    </w:rPr>
  </w:style>
  <w:style w:type="paragraph" w:styleId="Nadpis4">
    <w:name w:val="heading 4"/>
    <w:basedOn w:val="Normlny"/>
    <w:next w:val="Normlny"/>
    <w:link w:val="Nadpis4Char"/>
    <w:semiHidden/>
    <w:unhideWhenUsed/>
    <w:qFormat/>
    <w:rsid w:val="000F31CE"/>
    <w:pPr>
      <w:keepNext/>
      <w:spacing w:before="240" w:after="60"/>
      <w:outlineLvl w:val="3"/>
    </w:pPr>
    <w:rPr>
      <w:rFonts w:ascii="Calibri" w:hAnsi="Calibri"/>
      <w:b/>
      <w:bCs/>
      <w:sz w:val="28"/>
      <w:szCs w:val="28"/>
    </w:rPr>
  </w:style>
  <w:style w:type="paragraph" w:styleId="Nadpis5">
    <w:name w:val="heading 5"/>
    <w:basedOn w:val="Normlny"/>
    <w:next w:val="Normlny"/>
    <w:link w:val="Nadpis5Char"/>
    <w:semiHidden/>
    <w:unhideWhenUsed/>
    <w:qFormat/>
    <w:rsid w:val="000F31CE"/>
    <w:pPr>
      <w:spacing w:before="240" w:after="60"/>
      <w:outlineLvl w:val="4"/>
    </w:pPr>
    <w:rPr>
      <w:rFonts w:ascii="Calibri" w:hAnsi="Calibri"/>
      <w:b/>
      <w:bCs/>
      <w:i/>
      <w:iCs/>
      <w:sz w:val="26"/>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odtitul">
    <w:name w:val="Subtitle"/>
    <w:basedOn w:val="Normlny"/>
    <w:qFormat/>
    <w:rsid w:val="00C77566"/>
    <w:pPr>
      <w:jc w:val="both"/>
    </w:pPr>
    <w:rPr>
      <w:sz w:val="28"/>
    </w:rPr>
  </w:style>
  <w:style w:type="paragraph" w:styleId="Pta">
    <w:name w:val="footer"/>
    <w:basedOn w:val="Normlny"/>
    <w:link w:val="PtaChar"/>
    <w:uiPriority w:val="99"/>
    <w:rsid w:val="00C77566"/>
    <w:pPr>
      <w:tabs>
        <w:tab w:val="center" w:pos="4703"/>
        <w:tab w:val="right" w:pos="9406"/>
      </w:tabs>
    </w:pPr>
    <w:rPr>
      <w:lang w:val="cs-CZ"/>
    </w:rPr>
  </w:style>
  <w:style w:type="paragraph" w:styleId="Nzov">
    <w:name w:val="Title"/>
    <w:basedOn w:val="Normlny"/>
    <w:qFormat/>
    <w:rsid w:val="00C77566"/>
    <w:pPr>
      <w:jc w:val="center"/>
    </w:pPr>
    <w:rPr>
      <w:b/>
      <w:bCs/>
      <w:lang w:val="cs-CZ"/>
    </w:rPr>
  </w:style>
  <w:style w:type="paragraph" w:styleId="Zkladntext">
    <w:name w:val="Body Text"/>
    <w:basedOn w:val="Normlny"/>
    <w:link w:val="ZkladntextChar"/>
    <w:rsid w:val="00C77566"/>
    <w:pPr>
      <w:spacing w:before="120" w:after="120"/>
      <w:jc w:val="both"/>
    </w:pPr>
    <w:rPr>
      <w:b/>
      <w:bCs/>
      <w:lang w:val="cs-CZ"/>
    </w:rPr>
  </w:style>
  <w:style w:type="paragraph" w:styleId="Hlavika">
    <w:name w:val="header"/>
    <w:basedOn w:val="Normlny"/>
    <w:link w:val="HlavikaChar"/>
    <w:uiPriority w:val="99"/>
    <w:rsid w:val="00102024"/>
    <w:pPr>
      <w:tabs>
        <w:tab w:val="center" w:pos="4536"/>
        <w:tab w:val="right" w:pos="9072"/>
      </w:tabs>
    </w:pPr>
    <w:rPr>
      <w:lang w:val="x-none" w:eastAsia="x-none"/>
    </w:rPr>
  </w:style>
  <w:style w:type="character" w:styleId="slostrany">
    <w:name w:val="page number"/>
    <w:basedOn w:val="Predvolenpsmoodseku"/>
    <w:rsid w:val="00102024"/>
  </w:style>
  <w:style w:type="character" w:customStyle="1" w:styleId="HlavikaChar">
    <w:name w:val="Hlavička Char"/>
    <w:link w:val="Hlavika"/>
    <w:uiPriority w:val="99"/>
    <w:rsid w:val="003A2749"/>
    <w:rPr>
      <w:sz w:val="24"/>
      <w:szCs w:val="24"/>
    </w:rPr>
  </w:style>
  <w:style w:type="paragraph" w:styleId="Textbubliny">
    <w:name w:val="Balloon Text"/>
    <w:basedOn w:val="Normlny"/>
    <w:link w:val="TextbublinyChar"/>
    <w:uiPriority w:val="99"/>
    <w:rsid w:val="0010264B"/>
    <w:rPr>
      <w:rFonts w:ascii="Tahoma" w:hAnsi="Tahoma"/>
      <w:sz w:val="16"/>
      <w:szCs w:val="16"/>
      <w:lang w:val="x-none"/>
    </w:rPr>
  </w:style>
  <w:style w:type="character" w:customStyle="1" w:styleId="TextbublinyChar">
    <w:name w:val="Text bubliny Char"/>
    <w:link w:val="Textbubliny"/>
    <w:uiPriority w:val="99"/>
    <w:rsid w:val="0010264B"/>
    <w:rPr>
      <w:rFonts w:ascii="Tahoma" w:hAnsi="Tahoma" w:cs="Tahoma"/>
      <w:sz w:val="16"/>
      <w:szCs w:val="16"/>
      <w:lang w:eastAsia="cs-CZ"/>
    </w:rPr>
  </w:style>
  <w:style w:type="paragraph" w:styleId="Zarkazkladnhotextu">
    <w:name w:val="Body Text Indent"/>
    <w:basedOn w:val="Normlny"/>
    <w:link w:val="ZarkazkladnhotextuChar"/>
    <w:rsid w:val="000052FE"/>
    <w:pPr>
      <w:spacing w:after="120"/>
      <w:ind w:left="283"/>
    </w:pPr>
  </w:style>
  <w:style w:type="character" w:customStyle="1" w:styleId="ZarkazkladnhotextuChar">
    <w:name w:val="Zarážka základného textu Char"/>
    <w:link w:val="Zarkazkladnhotextu"/>
    <w:rsid w:val="000052FE"/>
    <w:rPr>
      <w:sz w:val="24"/>
      <w:szCs w:val="24"/>
      <w:lang w:eastAsia="cs-CZ"/>
    </w:rPr>
  </w:style>
  <w:style w:type="paragraph" w:customStyle="1" w:styleId="Zarkazkladnhotextu1">
    <w:name w:val="Zarážka základného textu1"/>
    <w:basedOn w:val="Normlny"/>
    <w:rsid w:val="000052FE"/>
    <w:pPr>
      <w:ind w:firstLine="708"/>
      <w:jc w:val="both"/>
    </w:pPr>
    <w:rPr>
      <w:lang w:eastAsia="sk-SK"/>
    </w:rPr>
  </w:style>
  <w:style w:type="character" w:customStyle="1" w:styleId="Nadpis4Char">
    <w:name w:val="Nadpis 4 Char"/>
    <w:link w:val="Nadpis4"/>
    <w:semiHidden/>
    <w:rsid w:val="000F31CE"/>
    <w:rPr>
      <w:rFonts w:ascii="Calibri" w:eastAsia="Times New Roman" w:hAnsi="Calibri" w:cs="Times New Roman"/>
      <w:b/>
      <w:bCs/>
      <w:sz w:val="28"/>
      <w:szCs w:val="28"/>
      <w:lang w:eastAsia="cs-CZ"/>
    </w:rPr>
  </w:style>
  <w:style w:type="character" w:customStyle="1" w:styleId="Nadpis5Char">
    <w:name w:val="Nadpis 5 Char"/>
    <w:link w:val="Nadpis5"/>
    <w:semiHidden/>
    <w:rsid w:val="000F31CE"/>
    <w:rPr>
      <w:rFonts w:ascii="Calibri" w:eastAsia="Times New Roman" w:hAnsi="Calibri" w:cs="Times New Roman"/>
      <w:b/>
      <w:bCs/>
      <w:i/>
      <w:iCs/>
      <w:sz w:val="26"/>
      <w:szCs w:val="26"/>
      <w:lang w:eastAsia="cs-CZ"/>
    </w:rPr>
  </w:style>
  <w:style w:type="paragraph" w:styleId="Zarkazkladnhotextu2">
    <w:name w:val="Body Text Indent 2"/>
    <w:basedOn w:val="Normlny"/>
    <w:link w:val="Zarkazkladnhotextu2Char"/>
    <w:rsid w:val="000F31CE"/>
    <w:pPr>
      <w:spacing w:after="120" w:line="480" w:lineRule="auto"/>
      <w:ind w:left="283"/>
    </w:pPr>
  </w:style>
  <w:style w:type="character" w:customStyle="1" w:styleId="Zarkazkladnhotextu2Char">
    <w:name w:val="Zarážka základného textu 2 Char"/>
    <w:link w:val="Zarkazkladnhotextu2"/>
    <w:rsid w:val="000F31CE"/>
    <w:rPr>
      <w:sz w:val="24"/>
      <w:szCs w:val="24"/>
      <w:lang w:eastAsia="cs-CZ"/>
    </w:rPr>
  </w:style>
  <w:style w:type="paragraph" w:customStyle="1" w:styleId="CharChar">
    <w:name w:val="Char Char"/>
    <w:basedOn w:val="Normlny"/>
    <w:rsid w:val="000F31CE"/>
    <w:pPr>
      <w:spacing w:after="160" w:line="240" w:lineRule="exact"/>
    </w:pPr>
    <w:rPr>
      <w:rFonts w:ascii="Arial" w:hAnsi="Arial"/>
      <w:sz w:val="20"/>
      <w:szCs w:val="20"/>
      <w:lang w:val="en-US" w:eastAsia="en-US"/>
    </w:rPr>
  </w:style>
  <w:style w:type="character" w:customStyle="1" w:styleId="PtaChar">
    <w:name w:val="Päta Char"/>
    <w:link w:val="Pta"/>
    <w:uiPriority w:val="99"/>
    <w:rsid w:val="000F31CE"/>
    <w:rPr>
      <w:sz w:val="24"/>
      <w:szCs w:val="24"/>
      <w:lang w:val="cs-CZ" w:eastAsia="cs-CZ"/>
    </w:rPr>
  </w:style>
  <w:style w:type="paragraph" w:customStyle="1" w:styleId="Zakladnystyl">
    <w:name w:val="Zakladny styl"/>
    <w:rsid w:val="00F969A6"/>
    <w:rPr>
      <w:sz w:val="24"/>
    </w:rPr>
  </w:style>
  <w:style w:type="paragraph" w:styleId="Textpoznmkypodiarou">
    <w:name w:val="footnote text"/>
    <w:basedOn w:val="Normlny"/>
    <w:link w:val="TextpoznmkypodiarouChar"/>
    <w:uiPriority w:val="99"/>
    <w:rsid w:val="00520B1C"/>
    <w:rPr>
      <w:sz w:val="20"/>
      <w:szCs w:val="20"/>
    </w:rPr>
  </w:style>
  <w:style w:type="character" w:customStyle="1" w:styleId="TextpoznmkypodiarouChar">
    <w:name w:val="Text poznámky pod čiarou Char"/>
    <w:link w:val="Textpoznmkypodiarou"/>
    <w:uiPriority w:val="99"/>
    <w:rsid w:val="00520B1C"/>
    <w:rPr>
      <w:lang w:eastAsia="cs-CZ"/>
    </w:rPr>
  </w:style>
  <w:style w:type="table" w:styleId="Mriekatabuky">
    <w:name w:val="Table Grid"/>
    <w:basedOn w:val="Normlnatabuka"/>
    <w:uiPriority w:val="39"/>
    <w:rsid w:val="00520B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poznmkupodiarou">
    <w:name w:val="footnote reference"/>
    <w:uiPriority w:val="99"/>
    <w:unhideWhenUsed/>
    <w:rsid w:val="00520B1C"/>
    <w:rPr>
      <w:vertAlign w:val="superscript"/>
    </w:rPr>
  </w:style>
  <w:style w:type="paragraph" w:styleId="Zkladntext3">
    <w:name w:val="Body Text 3"/>
    <w:basedOn w:val="Normlny"/>
    <w:link w:val="Zkladntext3Char"/>
    <w:rsid w:val="00E71603"/>
    <w:pPr>
      <w:spacing w:after="120"/>
    </w:pPr>
    <w:rPr>
      <w:sz w:val="16"/>
      <w:szCs w:val="16"/>
    </w:rPr>
  </w:style>
  <w:style w:type="character" w:customStyle="1" w:styleId="Zkladntext3Char">
    <w:name w:val="Základný text 3 Char"/>
    <w:basedOn w:val="Predvolenpsmoodseku"/>
    <w:link w:val="Zkladntext3"/>
    <w:rsid w:val="00E71603"/>
    <w:rPr>
      <w:sz w:val="16"/>
      <w:szCs w:val="16"/>
      <w:lang w:eastAsia="cs-CZ"/>
    </w:rPr>
  </w:style>
  <w:style w:type="numbering" w:customStyle="1" w:styleId="Bezzoznamu1">
    <w:name w:val="Bez zoznamu1"/>
    <w:next w:val="Bezzoznamu"/>
    <w:uiPriority w:val="99"/>
    <w:semiHidden/>
    <w:unhideWhenUsed/>
    <w:rsid w:val="00E71603"/>
  </w:style>
  <w:style w:type="character" w:customStyle="1" w:styleId="Nadpis1Char">
    <w:name w:val="Nadpis 1 Char"/>
    <w:basedOn w:val="Predvolenpsmoodseku"/>
    <w:link w:val="Nadpis1"/>
    <w:uiPriority w:val="9"/>
    <w:rsid w:val="00E71603"/>
    <w:rPr>
      <w:sz w:val="28"/>
      <w:szCs w:val="24"/>
      <w:u w:val="single"/>
      <w:lang w:eastAsia="cs-CZ"/>
    </w:rPr>
  </w:style>
  <w:style w:type="paragraph" w:styleId="Odsekzoznamu">
    <w:name w:val="List Paragraph"/>
    <w:aliases w:val="Numbering,Zoznam pismenovy"/>
    <w:basedOn w:val="Normlny"/>
    <w:uiPriority w:val="34"/>
    <w:qFormat/>
    <w:rsid w:val="00E71603"/>
    <w:pPr>
      <w:spacing w:after="120" w:line="259" w:lineRule="auto"/>
      <w:ind w:left="720"/>
      <w:contextualSpacing/>
      <w:jc w:val="both"/>
    </w:pPr>
    <w:rPr>
      <w:rFonts w:eastAsia="Calibri"/>
      <w:sz w:val="22"/>
      <w:szCs w:val="22"/>
      <w:lang w:eastAsia="en-US"/>
    </w:rPr>
  </w:style>
  <w:style w:type="character" w:customStyle="1" w:styleId="ZkladntextChar">
    <w:name w:val="Základný text Char"/>
    <w:basedOn w:val="Predvolenpsmoodseku"/>
    <w:link w:val="Zkladntext"/>
    <w:rsid w:val="00E71603"/>
    <w:rPr>
      <w:b/>
      <w:bCs/>
      <w:sz w:val="24"/>
      <w:szCs w:val="24"/>
      <w:lang w:val="cs-CZ" w:eastAsia="cs-CZ"/>
    </w:rPr>
  </w:style>
  <w:style w:type="paragraph" w:customStyle="1" w:styleId="Default">
    <w:name w:val="Default"/>
    <w:rsid w:val="00E71603"/>
    <w:pPr>
      <w:autoSpaceDE w:val="0"/>
      <w:autoSpaceDN w:val="0"/>
      <w:adjustRightInd w:val="0"/>
    </w:pPr>
    <w:rPr>
      <w:rFonts w:eastAsia="Calibri"/>
      <w:color w:val="000000"/>
      <w:sz w:val="24"/>
      <w:szCs w:val="24"/>
      <w:lang w:eastAsia="en-US"/>
    </w:rPr>
  </w:style>
  <w:style w:type="table" w:customStyle="1" w:styleId="Mriekatabuky1">
    <w:name w:val="Mriežka tabuľky1"/>
    <w:basedOn w:val="Normlnatabuka"/>
    <w:next w:val="Mriekatabuky"/>
    <w:uiPriority w:val="39"/>
    <w:rsid w:val="00E716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ywebov1">
    <w:name w:val="Normálny (webový)1"/>
    <w:basedOn w:val="Normlny"/>
    <w:next w:val="Normlnywebov"/>
    <w:uiPriority w:val="99"/>
    <w:semiHidden/>
    <w:unhideWhenUsed/>
    <w:rsid w:val="00E71603"/>
    <w:pPr>
      <w:spacing w:before="100" w:beforeAutospacing="1" w:after="100" w:afterAutospacing="1"/>
      <w:jc w:val="both"/>
    </w:pPr>
    <w:rPr>
      <w:lang w:eastAsia="sk-SK"/>
    </w:rPr>
  </w:style>
  <w:style w:type="character" w:styleId="Odkaznakomentr">
    <w:name w:val="annotation reference"/>
    <w:basedOn w:val="Predvolenpsmoodseku"/>
    <w:uiPriority w:val="99"/>
    <w:unhideWhenUsed/>
    <w:rsid w:val="00E71603"/>
    <w:rPr>
      <w:sz w:val="16"/>
      <w:szCs w:val="16"/>
    </w:rPr>
  </w:style>
  <w:style w:type="paragraph" w:styleId="Textkomentra">
    <w:name w:val="annotation text"/>
    <w:basedOn w:val="Normlny"/>
    <w:link w:val="TextkomentraChar"/>
    <w:uiPriority w:val="99"/>
    <w:unhideWhenUsed/>
    <w:rsid w:val="00E71603"/>
    <w:pPr>
      <w:spacing w:after="120"/>
      <w:jc w:val="both"/>
    </w:pPr>
    <w:rPr>
      <w:rFonts w:eastAsia="Calibri"/>
      <w:sz w:val="20"/>
      <w:szCs w:val="20"/>
      <w:lang w:eastAsia="en-US"/>
    </w:rPr>
  </w:style>
  <w:style w:type="character" w:customStyle="1" w:styleId="TextkomentraChar">
    <w:name w:val="Text komentára Char"/>
    <w:basedOn w:val="Predvolenpsmoodseku"/>
    <w:link w:val="Textkomentra"/>
    <w:uiPriority w:val="99"/>
    <w:rsid w:val="00E71603"/>
    <w:rPr>
      <w:rFonts w:eastAsia="Calibri"/>
      <w:lang w:eastAsia="en-US"/>
    </w:rPr>
  </w:style>
  <w:style w:type="paragraph" w:styleId="Predmetkomentra">
    <w:name w:val="annotation subject"/>
    <w:basedOn w:val="Textkomentra"/>
    <w:next w:val="Textkomentra"/>
    <w:link w:val="PredmetkomentraChar"/>
    <w:uiPriority w:val="99"/>
    <w:unhideWhenUsed/>
    <w:rsid w:val="00E71603"/>
    <w:rPr>
      <w:b/>
      <w:bCs/>
    </w:rPr>
  </w:style>
  <w:style w:type="character" w:customStyle="1" w:styleId="PredmetkomentraChar">
    <w:name w:val="Predmet komentára Char"/>
    <w:basedOn w:val="TextkomentraChar"/>
    <w:link w:val="Predmetkomentra"/>
    <w:uiPriority w:val="99"/>
    <w:rsid w:val="00E71603"/>
    <w:rPr>
      <w:rFonts w:eastAsia="Calibri"/>
      <w:b/>
      <w:bCs/>
      <w:lang w:eastAsia="en-US"/>
    </w:rPr>
  </w:style>
  <w:style w:type="character" w:customStyle="1" w:styleId="Nadpis2Char">
    <w:name w:val="Nadpis 2 Char"/>
    <w:basedOn w:val="Predvolenpsmoodseku"/>
    <w:link w:val="Nadpis2"/>
    <w:uiPriority w:val="9"/>
    <w:rsid w:val="00E71603"/>
    <w:rPr>
      <w:b/>
      <w:bCs/>
      <w:sz w:val="28"/>
      <w:szCs w:val="24"/>
      <w:lang w:eastAsia="cs-CZ"/>
    </w:rPr>
  </w:style>
  <w:style w:type="paragraph" w:customStyle="1" w:styleId="nadpisjedna">
    <w:name w:val="nadpis jedna"/>
    <w:basedOn w:val="Normlny"/>
    <w:qFormat/>
    <w:rsid w:val="00E71603"/>
    <w:pPr>
      <w:numPr>
        <w:numId w:val="18"/>
      </w:numPr>
      <w:tabs>
        <w:tab w:val="left" w:pos="284"/>
      </w:tabs>
      <w:spacing w:before="240"/>
      <w:jc w:val="both"/>
    </w:pPr>
    <w:rPr>
      <w:rFonts w:ascii="Arial" w:hAnsi="Arial" w:cs="Arial"/>
      <w:b/>
      <w:bCs/>
      <w:lang w:eastAsia="sk-SK"/>
    </w:rPr>
  </w:style>
  <w:style w:type="paragraph" w:customStyle="1" w:styleId="nadpisdva">
    <w:name w:val="nadpis dva"/>
    <w:basedOn w:val="Normlny"/>
    <w:qFormat/>
    <w:rsid w:val="00E71603"/>
    <w:pPr>
      <w:numPr>
        <w:ilvl w:val="1"/>
        <w:numId w:val="18"/>
      </w:numPr>
      <w:tabs>
        <w:tab w:val="left" w:pos="567"/>
      </w:tabs>
      <w:jc w:val="both"/>
    </w:pPr>
    <w:rPr>
      <w:rFonts w:ascii="Arial" w:hAnsi="Arial"/>
      <w:b/>
      <w:sz w:val="22"/>
      <w:lang w:eastAsia="sk-SK"/>
    </w:rPr>
  </w:style>
  <w:style w:type="paragraph" w:styleId="Zkladntext2">
    <w:name w:val="Body Text 2"/>
    <w:basedOn w:val="Normlny"/>
    <w:link w:val="Zkladntext2Char"/>
    <w:uiPriority w:val="99"/>
    <w:unhideWhenUsed/>
    <w:rsid w:val="00E71603"/>
    <w:pPr>
      <w:spacing w:after="120" w:line="480" w:lineRule="auto"/>
      <w:jc w:val="both"/>
    </w:pPr>
    <w:rPr>
      <w:rFonts w:eastAsia="Calibri"/>
      <w:sz w:val="22"/>
      <w:szCs w:val="22"/>
      <w:lang w:eastAsia="en-US"/>
    </w:rPr>
  </w:style>
  <w:style w:type="character" w:customStyle="1" w:styleId="Zkladntext2Char">
    <w:name w:val="Základný text 2 Char"/>
    <w:basedOn w:val="Predvolenpsmoodseku"/>
    <w:link w:val="Zkladntext2"/>
    <w:uiPriority w:val="99"/>
    <w:rsid w:val="00E71603"/>
    <w:rPr>
      <w:rFonts w:eastAsia="Calibri"/>
      <w:sz w:val="22"/>
      <w:szCs w:val="22"/>
      <w:lang w:eastAsia="en-US"/>
    </w:rPr>
  </w:style>
  <w:style w:type="character" w:styleId="Hypertextovprepojenie">
    <w:name w:val="Hyperlink"/>
    <w:basedOn w:val="Predvolenpsmoodseku"/>
    <w:uiPriority w:val="99"/>
    <w:unhideWhenUsed/>
    <w:rsid w:val="00E71603"/>
    <w:rPr>
      <w:color w:val="0000FF"/>
      <w:u w:val="single"/>
    </w:rPr>
  </w:style>
  <w:style w:type="paragraph" w:customStyle="1" w:styleId="Zoznamsodrazkou">
    <w:name w:val="Zoznam s odrazkou"/>
    <w:basedOn w:val="Normlny"/>
    <w:qFormat/>
    <w:rsid w:val="00E71603"/>
    <w:pPr>
      <w:numPr>
        <w:numId w:val="19"/>
      </w:numPr>
      <w:overflowPunct w:val="0"/>
      <w:autoSpaceDE w:val="0"/>
      <w:autoSpaceDN w:val="0"/>
      <w:adjustRightInd w:val="0"/>
      <w:spacing w:before="120" w:after="120" w:line="360" w:lineRule="auto"/>
      <w:ind w:left="738"/>
      <w:jc w:val="both"/>
      <w:textAlignment w:val="baseline"/>
    </w:pPr>
    <w:rPr>
      <w:sz w:val="22"/>
      <w:szCs w:val="20"/>
      <w:lang w:eastAsia="sk-SK"/>
    </w:rPr>
  </w:style>
  <w:style w:type="character" w:styleId="Zvraznenie">
    <w:name w:val="Emphasis"/>
    <w:uiPriority w:val="20"/>
    <w:qFormat/>
    <w:rsid w:val="00E71603"/>
    <w:rPr>
      <w:b/>
    </w:rPr>
  </w:style>
  <w:style w:type="paragraph" w:styleId="Hlavikaobsahu">
    <w:name w:val="TOC Heading"/>
    <w:basedOn w:val="Nadpis1"/>
    <w:next w:val="Normlny"/>
    <w:uiPriority w:val="39"/>
    <w:unhideWhenUsed/>
    <w:qFormat/>
    <w:rsid w:val="00E71603"/>
    <w:pPr>
      <w:keepLines/>
      <w:spacing w:before="240" w:line="259" w:lineRule="auto"/>
      <w:outlineLvl w:val="9"/>
    </w:pPr>
    <w:rPr>
      <w:szCs w:val="32"/>
      <w:u w:val="none"/>
      <w:lang w:eastAsia="sk-SK"/>
    </w:rPr>
  </w:style>
  <w:style w:type="paragraph" w:customStyle="1" w:styleId="Obsah11">
    <w:name w:val="Obsah 11"/>
    <w:basedOn w:val="Normlny"/>
    <w:next w:val="Normlny"/>
    <w:autoRedefine/>
    <w:uiPriority w:val="39"/>
    <w:unhideWhenUsed/>
    <w:rsid w:val="00E71603"/>
    <w:pPr>
      <w:tabs>
        <w:tab w:val="left" w:pos="426"/>
        <w:tab w:val="right" w:leader="dot" w:pos="9060"/>
      </w:tabs>
      <w:spacing w:after="120" w:line="276" w:lineRule="auto"/>
      <w:ind w:left="420" w:hanging="420"/>
    </w:pPr>
    <w:rPr>
      <w:rFonts w:ascii="Arial" w:eastAsia="Calibri" w:hAnsi="Arial" w:cs="Arial"/>
      <w:b/>
      <w:noProof/>
      <w:color w:val="000000"/>
      <w:lang w:eastAsia="en-US"/>
    </w:rPr>
  </w:style>
  <w:style w:type="paragraph" w:customStyle="1" w:styleId="Obsah21">
    <w:name w:val="Obsah 21"/>
    <w:basedOn w:val="Normlny"/>
    <w:next w:val="Normlny"/>
    <w:autoRedefine/>
    <w:uiPriority w:val="39"/>
    <w:unhideWhenUsed/>
    <w:rsid w:val="00E71603"/>
    <w:pPr>
      <w:tabs>
        <w:tab w:val="left" w:pos="993"/>
        <w:tab w:val="right" w:leader="dot" w:pos="9060"/>
      </w:tabs>
      <w:spacing w:line="360" w:lineRule="auto"/>
      <w:ind w:left="567"/>
      <w:jc w:val="both"/>
    </w:pPr>
    <w:rPr>
      <w:rFonts w:eastAsia="Calibri"/>
      <w:noProof/>
      <w:color w:val="000000"/>
      <w:sz w:val="22"/>
      <w:szCs w:val="22"/>
      <w:lang w:eastAsia="en-US"/>
    </w:rPr>
  </w:style>
  <w:style w:type="paragraph" w:styleId="Revzia">
    <w:name w:val="Revision"/>
    <w:hidden/>
    <w:uiPriority w:val="99"/>
    <w:semiHidden/>
    <w:rsid w:val="00E71603"/>
    <w:rPr>
      <w:rFonts w:ascii="Calibri" w:eastAsia="Calibri" w:hAnsi="Calibri"/>
      <w:sz w:val="22"/>
      <w:szCs w:val="22"/>
      <w:lang w:eastAsia="en-US"/>
    </w:rPr>
  </w:style>
  <w:style w:type="paragraph" w:styleId="Normlnywebov">
    <w:name w:val="Normal (Web)"/>
    <w:basedOn w:val="Normlny"/>
    <w:rsid w:val="00E7160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Body Text 2" w:uiPriority="99"/>
    <w:lsdException w:name="Hyperlink" w:uiPriority="99"/>
    <w:lsdException w:name="Strong" w:qFormat="1"/>
    <w:lsdException w:name="Emphasis" w:uiPriority="20" w:qFormat="1"/>
    <w:lsdException w:name="annotation subjec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C77566"/>
    <w:rPr>
      <w:sz w:val="24"/>
      <w:szCs w:val="24"/>
      <w:lang w:eastAsia="cs-CZ"/>
    </w:rPr>
  </w:style>
  <w:style w:type="paragraph" w:styleId="Nadpis1">
    <w:name w:val="heading 1"/>
    <w:basedOn w:val="Normlny"/>
    <w:next w:val="Normlny"/>
    <w:link w:val="Nadpis1Char"/>
    <w:uiPriority w:val="9"/>
    <w:qFormat/>
    <w:rsid w:val="00C77566"/>
    <w:pPr>
      <w:keepNext/>
      <w:jc w:val="both"/>
      <w:outlineLvl w:val="0"/>
    </w:pPr>
    <w:rPr>
      <w:sz w:val="28"/>
      <w:u w:val="single"/>
    </w:rPr>
  </w:style>
  <w:style w:type="paragraph" w:styleId="Nadpis2">
    <w:name w:val="heading 2"/>
    <w:basedOn w:val="Normlny"/>
    <w:next w:val="Normlny"/>
    <w:link w:val="Nadpis2Char"/>
    <w:uiPriority w:val="9"/>
    <w:qFormat/>
    <w:rsid w:val="00C77566"/>
    <w:pPr>
      <w:keepNext/>
      <w:jc w:val="center"/>
      <w:outlineLvl w:val="1"/>
    </w:pPr>
    <w:rPr>
      <w:b/>
      <w:bCs/>
      <w:sz w:val="28"/>
    </w:rPr>
  </w:style>
  <w:style w:type="paragraph" w:styleId="Nadpis3">
    <w:name w:val="heading 3"/>
    <w:basedOn w:val="Normlny"/>
    <w:next w:val="Normlny"/>
    <w:qFormat/>
    <w:rsid w:val="00C77566"/>
    <w:pPr>
      <w:keepNext/>
      <w:jc w:val="both"/>
      <w:outlineLvl w:val="2"/>
    </w:pPr>
    <w:rPr>
      <w:sz w:val="28"/>
    </w:rPr>
  </w:style>
  <w:style w:type="paragraph" w:styleId="Nadpis4">
    <w:name w:val="heading 4"/>
    <w:basedOn w:val="Normlny"/>
    <w:next w:val="Normlny"/>
    <w:link w:val="Nadpis4Char"/>
    <w:semiHidden/>
    <w:unhideWhenUsed/>
    <w:qFormat/>
    <w:rsid w:val="000F31CE"/>
    <w:pPr>
      <w:keepNext/>
      <w:spacing w:before="240" w:after="60"/>
      <w:outlineLvl w:val="3"/>
    </w:pPr>
    <w:rPr>
      <w:rFonts w:ascii="Calibri" w:hAnsi="Calibri"/>
      <w:b/>
      <w:bCs/>
      <w:sz w:val="28"/>
      <w:szCs w:val="28"/>
    </w:rPr>
  </w:style>
  <w:style w:type="paragraph" w:styleId="Nadpis5">
    <w:name w:val="heading 5"/>
    <w:basedOn w:val="Normlny"/>
    <w:next w:val="Normlny"/>
    <w:link w:val="Nadpis5Char"/>
    <w:semiHidden/>
    <w:unhideWhenUsed/>
    <w:qFormat/>
    <w:rsid w:val="000F31CE"/>
    <w:pPr>
      <w:spacing w:before="240" w:after="60"/>
      <w:outlineLvl w:val="4"/>
    </w:pPr>
    <w:rPr>
      <w:rFonts w:ascii="Calibri" w:hAnsi="Calibri"/>
      <w:b/>
      <w:bCs/>
      <w:i/>
      <w:iCs/>
      <w:sz w:val="26"/>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odtitul">
    <w:name w:val="Subtitle"/>
    <w:basedOn w:val="Normlny"/>
    <w:qFormat/>
    <w:rsid w:val="00C77566"/>
    <w:pPr>
      <w:jc w:val="both"/>
    </w:pPr>
    <w:rPr>
      <w:sz w:val="28"/>
    </w:rPr>
  </w:style>
  <w:style w:type="paragraph" w:styleId="Pta">
    <w:name w:val="footer"/>
    <w:basedOn w:val="Normlny"/>
    <w:link w:val="PtaChar"/>
    <w:uiPriority w:val="99"/>
    <w:rsid w:val="00C77566"/>
    <w:pPr>
      <w:tabs>
        <w:tab w:val="center" w:pos="4703"/>
        <w:tab w:val="right" w:pos="9406"/>
      </w:tabs>
    </w:pPr>
    <w:rPr>
      <w:lang w:val="cs-CZ"/>
    </w:rPr>
  </w:style>
  <w:style w:type="paragraph" w:styleId="Nzov">
    <w:name w:val="Title"/>
    <w:basedOn w:val="Normlny"/>
    <w:qFormat/>
    <w:rsid w:val="00C77566"/>
    <w:pPr>
      <w:jc w:val="center"/>
    </w:pPr>
    <w:rPr>
      <w:b/>
      <w:bCs/>
      <w:lang w:val="cs-CZ"/>
    </w:rPr>
  </w:style>
  <w:style w:type="paragraph" w:styleId="Zkladntext">
    <w:name w:val="Body Text"/>
    <w:basedOn w:val="Normlny"/>
    <w:link w:val="ZkladntextChar"/>
    <w:rsid w:val="00C77566"/>
    <w:pPr>
      <w:spacing w:before="120" w:after="120"/>
      <w:jc w:val="both"/>
    </w:pPr>
    <w:rPr>
      <w:b/>
      <w:bCs/>
      <w:lang w:val="cs-CZ"/>
    </w:rPr>
  </w:style>
  <w:style w:type="paragraph" w:styleId="Hlavika">
    <w:name w:val="header"/>
    <w:basedOn w:val="Normlny"/>
    <w:link w:val="HlavikaChar"/>
    <w:uiPriority w:val="99"/>
    <w:rsid w:val="00102024"/>
    <w:pPr>
      <w:tabs>
        <w:tab w:val="center" w:pos="4536"/>
        <w:tab w:val="right" w:pos="9072"/>
      </w:tabs>
    </w:pPr>
    <w:rPr>
      <w:lang w:val="x-none" w:eastAsia="x-none"/>
    </w:rPr>
  </w:style>
  <w:style w:type="character" w:styleId="slostrany">
    <w:name w:val="page number"/>
    <w:basedOn w:val="Predvolenpsmoodseku"/>
    <w:rsid w:val="00102024"/>
  </w:style>
  <w:style w:type="character" w:customStyle="1" w:styleId="HlavikaChar">
    <w:name w:val="Hlavička Char"/>
    <w:link w:val="Hlavika"/>
    <w:uiPriority w:val="99"/>
    <w:rsid w:val="003A2749"/>
    <w:rPr>
      <w:sz w:val="24"/>
      <w:szCs w:val="24"/>
    </w:rPr>
  </w:style>
  <w:style w:type="paragraph" w:styleId="Textbubliny">
    <w:name w:val="Balloon Text"/>
    <w:basedOn w:val="Normlny"/>
    <w:link w:val="TextbublinyChar"/>
    <w:uiPriority w:val="99"/>
    <w:rsid w:val="0010264B"/>
    <w:rPr>
      <w:rFonts w:ascii="Tahoma" w:hAnsi="Tahoma"/>
      <w:sz w:val="16"/>
      <w:szCs w:val="16"/>
      <w:lang w:val="x-none"/>
    </w:rPr>
  </w:style>
  <w:style w:type="character" w:customStyle="1" w:styleId="TextbublinyChar">
    <w:name w:val="Text bubliny Char"/>
    <w:link w:val="Textbubliny"/>
    <w:uiPriority w:val="99"/>
    <w:rsid w:val="0010264B"/>
    <w:rPr>
      <w:rFonts w:ascii="Tahoma" w:hAnsi="Tahoma" w:cs="Tahoma"/>
      <w:sz w:val="16"/>
      <w:szCs w:val="16"/>
      <w:lang w:eastAsia="cs-CZ"/>
    </w:rPr>
  </w:style>
  <w:style w:type="paragraph" w:styleId="Zarkazkladnhotextu">
    <w:name w:val="Body Text Indent"/>
    <w:basedOn w:val="Normlny"/>
    <w:link w:val="ZarkazkladnhotextuChar"/>
    <w:rsid w:val="000052FE"/>
    <w:pPr>
      <w:spacing w:after="120"/>
      <w:ind w:left="283"/>
    </w:pPr>
  </w:style>
  <w:style w:type="character" w:customStyle="1" w:styleId="ZarkazkladnhotextuChar">
    <w:name w:val="Zarážka základného textu Char"/>
    <w:link w:val="Zarkazkladnhotextu"/>
    <w:rsid w:val="000052FE"/>
    <w:rPr>
      <w:sz w:val="24"/>
      <w:szCs w:val="24"/>
      <w:lang w:eastAsia="cs-CZ"/>
    </w:rPr>
  </w:style>
  <w:style w:type="paragraph" w:customStyle="1" w:styleId="Zarkazkladnhotextu1">
    <w:name w:val="Zarážka základného textu1"/>
    <w:basedOn w:val="Normlny"/>
    <w:rsid w:val="000052FE"/>
    <w:pPr>
      <w:ind w:firstLine="708"/>
      <w:jc w:val="both"/>
    </w:pPr>
    <w:rPr>
      <w:lang w:eastAsia="sk-SK"/>
    </w:rPr>
  </w:style>
  <w:style w:type="character" w:customStyle="1" w:styleId="Nadpis4Char">
    <w:name w:val="Nadpis 4 Char"/>
    <w:link w:val="Nadpis4"/>
    <w:semiHidden/>
    <w:rsid w:val="000F31CE"/>
    <w:rPr>
      <w:rFonts w:ascii="Calibri" w:eastAsia="Times New Roman" w:hAnsi="Calibri" w:cs="Times New Roman"/>
      <w:b/>
      <w:bCs/>
      <w:sz w:val="28"/>
      <w:szCs w:val="28"/>
      <w:lang w:eastAsia="cs-CZ"/>
    </w:rPr>
  </w:style>
  <w:style w:type="character" w:customStyle="1" w:styleId="Nadpis5Char">
    <w:name w:val="Nadpis 5 Char"/>
    <w:link w:val="Nadpis5"/>
    <w:semiHidden/>
    <w:rsid w:val="000F31CE"/>
    <w:rPr>
      <w:rFonts w:ascii="Calibri" w:eastAsia="Times New Roman" w:hAnsi="Calibri" w:cs="Times New Roman"/>
      <w:b/>
      <w:bCs/>
      <w:i/>
      <w:iCs/>
      <w:sz w:val="26"/>
      <w:szCs w:val="26"/>
      <w:lang w:eastAsia="cs-CZ"/>
    </w:rPr>
  </w:style>
  <w:style w:type="paragraph" w:styleId="Zarkazkladnhotextu2">
    <w:name w:val="Body Text Indent 2"/>
    <w:basedOn w:val="Normlny"/>
    <w:link w:val="Zarkazkladnhotextu2Char"/>
    <w:rsid w:val="000F31CE"/>
    <w:pPr>
      <w:spacing w:after="120" w:line="480" w:lineRule="auto"/>
      <w:ind w:left="283"/>
    </w:pPr>
  </w:style>
  <w:style w:type="character" w:customStyle="1" w:styleId="Zarkazkladnhotextu2Char">
    <w:name w:val="Zarážka základného textu 2 Char"/>
    <w:link w:val="Zarkazkladnhotextu2"/>
    <w:rsid w:val="000F31CE"/>
    <w:rPr>
      <w:sz w:val="24"/>
      <w:szCs w:val="24"/>
      <w:lang w:eastAsia="cs-CZ"/>
    </w:rPr>
  </w:style>
  <w:style w:type="paragraph" w:customStyle="1" w:styleId="CharChar">
    <w:name w:val="Char Char"/>
    <w:basedOn w:val="Normlny"/>
    <w:rsid w:val="000F31CE"/>
    <w:pPr>
      <w:spacing w:after="160" w:line="240" w:lineRule="exact"/>
    </w:pPr>
    <w:rPr>
      <w:rFonts w:ascii="Arial" w:hAnsi="Arial"/>
      <w:sz w:val="20"/>
      <w:szCs w:val="20"/>
      <w:lang w:val="en-US" w:eastAsia="en-US"/>
    </w:rPr>
  </w:style>
  <w:style w:type="character" w:customStyle="1" w:styleId="PtaChar">
    <w:name w:val="Päta Char"/>
    <w:link w:val="Pta"/>
    <w:uiPriority w:val="99"/>
    <w:rsid w:val="000F31CE"/>
    <w:rPr>
      <w:sz w:val="24"/>
      <w:szCs w:val="24"/>
      <w:lang w:val="cs-CZ" w:eastAsia="cs-CZ"/>
    </w:rPr>
  </w:style>
  <w:style w:type="paragraph" w:customStyle="1" w:styleId="Zakladnystyl">
    <w:name w:val="Zakladny styl"/>
    <w:rsid w:val="00F969A6"/>
    <w:rPr>
      <w:sz w:val="24"/>
    </w:rPr>
  </w:style>
  <w:style w:type="paragraph" w:styleId="Textpoznmkypodiarou">
    <w:name w:val="footnote text"/>
    <w:basedOn w:val="Normlny"/>
    <w:link w:val="TextpoznmkypodiarouChar"/>
    <w:uiPriority w:val="99"/>
    <w:rsid w:val="00520B1C"/>
    <w:rPr>
      <w:sz w:val="20"/>
      <w:szCs w:val="20"/>
    </w:rPr>
  </w:style>
  <w:style w:type="character" w:customStyle="1" w:styleId="TextpoznmkypodiarouChar">
    <w:name w:val="Text poznámky pod čiarou Char"/>
    <w:link w:val="Textpoznmkypodiarou"/>
    <w:uiPriority w:val="99"/>
    <w:rsid w:val="00520B1C"/>
    <w:rPr>
      <w:lang w:eastAsia="cs-CZ"/>
    </w:rPr>
  </w:style>
  <w:style w:type="table" w:styleId="Mriekatabuky">
    <w:name w:val="Table Grid"/>
    <w:basedOn w:val="Normlnatabuka"/>
    <w:uiPriority w:val="39"/>
    <w:rsid w:val="00520B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poznmkupodiarou">
    <w:name w:val="footnote reference"/>
    <w:uiPriority w:val="99"/>
    <w:unhideWhenUsed/>
    <w:rsid w:val="00520B1C"/>
    <w:rPr>
      <w:vertAlign w:val="superscript"/>
    </w:rPr>
  </w:style>
  <w:style w:type="paragraph" w:styleId="Zkladntext3">
    <w:name w:val="Body Text 3"/>
    <w:basedOn w:val="Normlny"/>
    <w:link w:val="Zkladntext3Char"/>
    <w:rsid w:val="00E71603"/>
    <w:pPr>
      <w:spacing w:after="120"/>
    </w:pPr>
    <w:rPr>
      <w:sz w:val="16"/>
      <w:szCs w:val="16"/>
    </w:rPr>
  </w:style>
  <w:style w:type="character" w:customStyle="1" w:styleId="Zkladntext3Char">
    <w:name w:val="Základný text 3 Char"/>
    <w:basedOn w:val="Predvolenpsmoodseku"/>
    <w:link w:val="Zkladntext3"/>
    <w:rsid w:val="00E71603"/>
    <w:rPr>
      <w:sz w:val="16"/>
      <w:szCs w:val="16"/>
      <w:lang w:eastAsia="cs-CZ"/>
    </w:rPr>
  </w:style>
  <w:style w:type="numbering" w:customStyle="1" w:styleId="Bezzoznamu1">
    <w:name w:val="Bez zoznamu1"/>
    <w:next w:val="Bezzoznamu"/>
    <w:uiPriority w:val="99"/>
    <w:semiHidden/>
    <w:unhideWhenUsed/>
    <w:rsid w:val="00E71603"/>
  </w:style>
  <w:style w:type="character" w:customStyle="1" w:styleId="Nadpis1Char">
    <w:name w:val="Nadpis 1 Char"/>
    <w:basedOn w:val="Predvolenpsmoodseku"/>
    <w:link w:val="Nadpis1"/>
    <w:uiPriority w:val="9"/>
    <w:rsid w:val="00E71603"/>
    <w:rPr>
      <w:sz w:val="28"/>
      <w:szCs w:val="24"/>
      <w:u w:val="single"/>
      <w:lang w:eastAsia="cs-CZ"/>
    </w:rPr>
  </w:style>
  <w:style w:type="paragraph" w:styleId="Odsekzoznamu">
    <w:name w:val="List Paragraph"/>
    <w:aliases w:val="Numbering,Zoznam pismenovy"/>
    <w:basedOn w:val="Normlny"/>
    <w:uiPriority w:val="34"/>
    <w:qFormat/>
    <w:rsid w:val="00E71603"/>
    <w:pPr>
      <w:spacing w:after="120" w:line="259" w:lineRule="auto"/>
      <w:ind w:left="720"/>
      <w:contextualSpacing/>
      <w:jc w:val="both"/>
    </w:pPr>
    <w:rPr>
      <w:rFonts w:eastAsia="Calibri"/>
      <w:sz w:val="22"/>
      <w:szCs w:val="22"/>
      <w:lang w:eastAsia="en-US"/>
    </w:rPr>
  </w:style>
  <w:style w:type="character" w:customStyle="1" w:styleId="ZkladntextChar">
    <w:name w:val="Základný text Char"/>
    <w:basedOn w:val="Predvolenpsmoodseku"/>
    <w:link w:val="Zkladntext"/>
    <w:rsid w:val="00E71603"/>
    <w:rPr>
      <w:b/>
      <w:bCs/>
      <w:sz w:val="24"/>
      <w:szCs w:val="24"/>
      <w:lang w:val="cs-CZ" w:eastAsia="cs-CZ"/>
    </w:rPr>
  </w:style>
  <w:style w:type="paragraph" w:customStyle="1" w:styleId="Default">
    <w:name w:val="Default"/>
    <w:rsid w:val="00E71603"/>
    <w:pPr>
      <w:autoSpaceDE w:val="0"/>
      <w:autoSpaceDN w:val="0"/>
      <w:adjustRightInd w:val="0"/>
    </w:pPr>
    <w:rPr>
      <w:rFonts w:eastAsia="Calibri"/>
      <w:color w:val="000000"/>
      <w:sz w:val="24"/>
      <w:szCs w:val="24"/>
      <w:lang w:eastAsia="en-US"/>
    </w:rPr>
  </w:style>
  <w:style w:type="table" w:customStyle="1" w:styleId="Mriekatabuky1">
    <w:name w:val="Mriežka tabuľky1"/>
    <w:basedOn w:val="Normlnatabuka"/>
    <w:next w:val="Mriekatabuky"/>
    <w:uiPriority w:val="39"/>
    <w:rsid w:val="00E716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ywebov1">
    <w:name w:val="Normálny (webový)1"/>
    <w:basedOn w:val="Normlny"/>
    <w:next w:val="Normlnywebov"/>
    <w:uiPriority w:val="99"/>
    <w:semiHidden/>
    <w:unhideWhenUsed/>
    <w:rsid w:val="00E71603"/>
    <w:pPr>
      <w:spacing w:before="100" w:beforeAutospacing="1" w:after="100" w:afterAutospacing="1"/>
      <w:jc w:val="both"/>
    </w:pPr>
    <w:rPr>
      <w:lang w:eastAsia="sk-SK"/>
    </w:rPr>
  </w:style>
  <w:style w:type="character" w:styleId="Odkaznakomentr">
    <w:name w:val="annotation reference"/>
    <w:basedOn w:val="Predvolenpsmoodseku"/>
    <w:uiPriority w:val="99"/>
    <w:unhideWhenUsed/>
    <w:rsid w:val="00E71603"/>
    <w:rPr>
      <w:sz w:val="16"/>
      <w:szCs w:val="16"/>
    </w:rPr>
  </w:style>
  <w:style w:type="paragraph" w:styleId="Textkomentra">
    <w:name w:val="annotation text"/>
    <w:basedOn w:val="Normlny"/>
    <w:link w:val="TextkomentraChar"/>
    <w:uiPriority w:val="99"/>
    <w:unhideWhenUsed/>
    <w:rsid w:val="00E71603"/>
    <w:pPr>
      <w:spacing w:after="120"/>
      <w:jc w:val="both"/>
    </w:pPr>
    <w:rPr>
      <w:rFonts w:eastAsia="Calibri"/>
      <w:sz w:val="20"/>
      <w:szCs w:val="20"/>
      <w:lang w:eastAsia="en-US"/>
    </w:rPr>
  </w:style>
  <w:style w:type="character" w:customStyle="1" w:styleId="TextkomentraChar">
    <w:name w:val="Text komentára Char"/>
    <w:basedOn w:val="Predvolenpsmoodseku"/>
    <w:link w:val="Textkomentra"/>
    <w:uiPriority w:val="99"/>
    <w:rsid w:val="00E71603"/>
    <w:rPr>
      <w:rFonts w:eastAsia="Calibri"/>
      <w:lang w:eastAsia="en-US"/>
    </w:rPr>
  </w:style>
  <w:style w:type="paragraph" w:styleId="Predmetkomentra">
    <w:name w:val="annotation subject"/>
    <w:basedOn w:val="Textkomentra"/>
    <w:next w:val="Textkomentra"/>
    <w:link w:val="PredmetkomentraChar"/>
    <w:uiPriority w:val="99"/>
    <w:unhideWhenUsed/>
    <w:rsid w:val="00E71603"/>
    <w:rPr>
      <w:b/>
      <w:bCs/>
    </w:rPr>
  </w:style>
  <w:style w:type="character" w:customStyle="1" w:styleId="PredmetkomentraChar">
    <w:name w:val="Predmet komentára Char"/>
    <w:basedOn w:val="TextkomentraChar"/>
    <w:link w:val="Predmetkomentra"/>
    <w:uiPriority w:val="99"/>
    <w:rsid w:val="00E71603"/>
    <w:rPr>
      <w:rFonts w:eastAsia="Calibri"/>
      <w:b/>
      <w:bCs/>
      <w:lang w:eastAsia="en-US"/>
    </w:rPr>
  </w:style>
  <w:style w:type="character" w:customStyle="1" w:styleId="Nadpis2Char">
    <w:name w:val="Nadpis 2 Char"/>
    <w:basedOn w:val="Predvolenpsmoodseku"/>
    <w:link w:val="Nadpis2"/>
    <w:uiPriority w:val="9"/>
    <w:rsid w:val="00E71603"/>
    <w:rPr>
      <w:b/>
      <w:bCs/>
      <w:sz w:val="28"/>
      <w:szCs w:val="24"/>
      <w:lang w:eastAsia="cs-CZ"/>
    </w:rPr>
  </w:style>
  <w:style w:type="paragraph" w:customStyle="1" w:styleId="nadpisjedna">
    <w:name w:val="nadpis jedna"/>
    <w:basedOn w:val="Normlny"/>
    <w:qFormat/>
    <w:rsid w:val="00E71603"/>
    <w:pPr>
      <w:numPr>
        <w:numId w:val="18"/>
      </w:numPr>
      <w:tabs>
        <w:tab w:val="left" w:pos="284"/>
      </w:tabs>
      <w:spacing w:before="240"/>
      <w:jc w:val="both"/>
    </w:pPr>
    <w:rPr>
      <w:rFonts w:ascii="Arial" w:hAnsi="Arial" w:cs="Arial"/>
      <w:b/>
      <w:bCs/>
      <w:lang w:eastAsia="sk-SK"/>
    </w:rPr>
  </w:style>
  <w:style w:type="paragraph" w:customStyle="1" w:styleId="nadpisdva">
    <w:name w:val="nadpis dva"/>
    <w:basedOn w:val="Normlny"/>
    <w:qFormat/>
    <w:rsid w:val="00E71603"/>
    <w:pPr>
      <w:numPr>
        <w:ilvl w:val="1"/>
        <w:numId w:val="18"/>
      </w:numPr>
      <w:tabs>
        <w:tab w:val="left" w:pos="567"/>
      </w:tabs>
      <w:jc w:val="both"/>
    </w:pPr>
    <w:rPr>
      <w:rFonts w:ascii="Arial" w:hAnsi="Arial"/>
      <w:b/>
      <w:sz w:val="22"/>
      <w:lang w:eastAsia="sk-SK"/>
    </w:rPr>
  </w:style>
  <w:style w:type="paragraph" w:styleId="Zkladntext2">
    <w:name w:val="Body Text 2"/>
    <w:basedOn w:val="Normlny"/>
    <w:link w:val="Zkladntext2Char"/>
    <w:uiPriority w:val="99"/>
    <w:unhideWhenUsed/>
    <w:rsid w:val="00E71603"/>
    <w:pPr>
      <w:spacing w:after="120" w:line="480" w:lineRule="auto"/>
      <w:jc w:val="both"/>
    </w:pPr>
    <w:rPr>
      <w:rFonts w:eastAsia="Calibri"/>
      <w:sz w:val="22"/>
      <w:szCs w:val="22"/>
      <w:lang w:eastAsia="en-US"/>
    </w:rPr>
  </w:style>
  <w:style w:type="character" w:customStyle="1" w:styleId="Zkladntext2Char">
    <w:name w:val="Základný text 2 Char"/>
    <w:basedOn w:val="Predvolenpsmoodseku"/>
    <w:link w:val="Zkladntext2"/>
    <w:uiPriority w:val="99"/>
    <w:rsid w:val="00E71603"/>
    <w:rPr>
      <w:rFonts w:eastAsia="Calibri"/>
      <w:sz w:val="22"/>
      <w:szCs w:val="22"/>
      <w:lang w:eastAsia="en-US"/>
    </w:rPr>
  </w:style>
  <w:style w:type="character" w:styleId="Hypertextovprepojenie">
    <w:name w:val="Hyperlink"/>
    <w:basedOn w:val="Predvolenpsmoodseku"/>
    <w:uiPriority w:val="99"/>
    <w:unhideWhenUsed/>
    <w:rsid w:val="00E71603"/>
    <w:rPr>
      <w:color w:val="0000FF"/>
      <w:u w:val="single"/>
    </w:rPr>
  </w:style>
  <w:style w:type="paragraph" w:customStyle="1" w:styleId="Zoznamsodrazkou">
    <w:name w:val="Zoznam s odrazkou"/>
    <w:basedOn w:val="Normlny"/>
    <w:qFormat/>
    <w:rsid w:val="00E71603"/>
    <w:pPr>
      <w:numPr>
        <w:numId w:val="19"/>
      </w:numPr>
      <w:overflowPunct w:val="0"/>
      <w:autoSpaceDE w:val="0"/>
      <w:autoSpaceDN w:val="0"/>
      <w:adjustRightInd w:val="0"/>
      <w:spacing w:before="120" w:after="120" w:line="360" w:lineRule="auto"/>
      <w:ind w:left="738"/>
      <w:jc w:val="both"/>
      <w:textAlignment w:val="baseline"/>
    </w:pPr>
    <w:rPr>
      <w:sz w:val="22"/>
      <w:szCs w:val="20"/>
      <w:lang w:eastAsia="sk-SK"/>
    </w:rPr>
  </w:style>
  <w:style w:type="character" w:styleId="Zvraznenie">
    <w:name w:val="Emphasis"/>
    <w:uiPriority w:val="20"/>
    <w:qFormat/>
    <w:rsid w:val="00E71603"/>
    <w:rPr>
      <w:b/>
    </w:rPr>
  </w:style>
  <w:style w:type="paragraph" w:styleId="Hlavikaobsahu">
    <w:name w:val="TOC Heading"/>
    <w:basedOn w:val="Nadpis1"/>
    <w:next w:val="Normlny"/>
    <w:uiPriority w:val="39"/>
    <w:unhideWhenUsed/>
    <w:qFormat/>
    <w:rsid w:val="00E71603"/>
    <w:pPr>
      <w:keepLines/>
      <w:spacing w:before="240" w:line="259" w:lineRule="auto"/>
      <w:outlineLvl w:val="9"/>
    </w:pPr>
    <w:rPr>
      <w:szCs w:val="32"/>
      <w:u w:val="none"/>
      <w:lang w:eastAsia="sk-SK"/>
    </w:rPr>
  </w:style>
  <w:style w:type="paragraph" w:customStyle="1" w:styleId="Obsah11">
    <w:name w:val="Obsah 11"/>
    <w:basedOn w:val="Normlny"/>
    <w:next w:val="Normlny"/>
    <w:autoRedefine/>
    <w:uiPriority w:val="39"/>
    <w:unhideWhenUsed/>
    <w:rsid w:val="00E71603"/>
    <w:pPr>
      <w:tabs>
        <w:tab w:val="left" w:pos="426"/>
        <w:tab w:val="right" w:leader="dot" w:pos="9060"/>
      </w:tabs>
      <w:spacing w:after="120" w:line="276" w:lineRule="auto"/>
      <w:ind w:left="420" w:hanging="420"/>
    </w:pPr>
    <w:rPr>
      <w:rFonts w:ascii="Arial" w:eastAsia="Calibri" w:hAnsi="Arial" w:cs="Arial"/>
      <w:b/>
      <w:noProof/>
      <w:color w:val="000000"/>
      <w:lang w:eastAsia="en-US"/>
    </w:rPr>
  </w:style>
  <w:style w:type="paragraph" w:customStyle="1" w:styleId="Obsah21">
    <w:name w:val="Obsah 21"/>
    <w:basedOn w:val="Normlny"/>
    <w:next w:val="Normlny"/>
    <w:autoRedefine/>
    <w:uiPriority w:val="39"/>
    <w:unhideWhenUsed/>
    <w:rsid w:val="00E71603"/>
    <w:pPr>
      <w:tabs>
        <w:tab w:val="left" w:pos="993"/>
        <w:tab w:val="right" w:leader="dot" w:pos="9060"/>
      </w:tabs>
      <w:spacing w:line="360" w:lineRule="auto"/>
      <w:ind w:left="567"/>
      <w:jc w:val="both"/>
    </w:pPr>
    <w:rPr>
      <w:rFonts w:eastAsia="Calibri"/>
      <w:noProof/>
      <w:color w:val="000000"/>
      <w:sz w:val="22"/>
      <w:szCs w:val="22"/>
      <w:lang w:eastAsia="en-US"/>
    </w:rPr>
  </w:style>
  <w:style w:type="paragraph" w:styleId="Revzia">
    <w:name w:val="Revision"/>
    <w:hidden/>
    <w:uiPriority w:val="99"/>
    <w:semiHidden/>
    <w:rsid w:val="00E71603"/>
    <w:rPr>
      <w:rFonts w:ascii="Calibri" w:eastAsia="Calibri" w:hAnsi="Calibri"/>
      <w:sz w:val="22"/>
      <w:szCs w:val="22"/>
      <w:lang w:eastAsia="en-US"/>
    </w:rPr>
  </w:style>
  <w:style w:type="paragraph" w:styleId="Normlnywebov">
    <w:name w:val="Normal (Web)"/>
    <w:basedOn w:val="Normlny"/>
    <w:rsid w:val="00E716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2743325">
      <w:bodyDiv w:val="1"/>
      <w:marLeft w:val="0"/>
      <w:marRight w:val="0"/>
      <w:marTop w:val="0"/>
      <w:marBottom w:val="0"/>
      <w:divBdr>
        <w:top w:val="none" w:sz="0" w:space="0" w:color="auto"/>
        <w:left w:val="none" w:sz="0" w:space="0" w:color="auto"/>
        <w:bottom w:val="none" w:sz="0" w:space="0" w:color="auto"/>
        <w:right w:val="none" w:sz="0" w:space="0" w:color="auto"/>
      </w:divBdr>
    </w:div>
    <w:div w:id="168166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customXml" Target="../customXml/item2.xml"/><Relationship Id="rId50" Type="http://schemas.openxmlformats.org/officeDocument/2006/relationships/customXml" Target="../customXml/item5.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emf"/><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http://www.sepsas.sk"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customXml" Target="../customXml/item4.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package" Target="embeddings/Microsoft_Excel_Worksheet1.xlsx"/><Relationship Id="rId4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customXml" Target="../customXml/item3.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s://www.entsoe.eu/publications/system-operations-reports/operation-handbook/Pages/default.aspx"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e60a29af-d413-48d4-bd90-fe9d2a897e4b">WKX3UHSAJ2R6-2-798592</_dlc_DocId>
    <_dlc_DocIdUrl xmlns="e60a29af-d413-48d4-bd90-fe9d2a897e4b">
      <Url>https://ovdmasv601/sites/DMS/_layouts/15/DocIdRedir.aspx?ID=WKX3UHSAJ2R6-2-798592</Url>
      <Description>WKX3UHSAJ2R6-2-798592</Description>
    </_dlc_DocIdUrl>
  </documentManagement>
</p:properties>
</file>

<file path=customXml/itemProps1.xml><?xml version="1.0" encoding="utf-8"?>
<ds:datastoreItem xmlns:ds="http://schemas.openxmlformats.org/officeDocument/2006/customXml" ds:itemID="{9BEC1684-2695-4AD3-9862-E3BD77AE2E23}"/>
</file>

<file path=customXml/itemProps2.xml><?xml version="1.0" encoding="utf-8"?>
<ds:datastoreItem xmlns:ds="http://schemas.openxmlformats.org/officeDocument/2006/customXml" ds:itemID="{8232F469-4C3F-484E-86A8-5F2CD5EF8AA1}"/>
</file>

<file path=customXml/itemProps3.xml><?xml version="1.0" encoding="utf-8"?>
<ds:datastoreItem xmlns:ds="http://schemas.openxmlformats.org/officeDocument/2006/customXml" ds:itemID="{08B8A687-49E0-4940-BC19-C5FD885F0BC5}"/>
</file>

<file path=customXml/itemProps4.xml><?xml version="1.0" encoding="utf-8"?>
<ds:datastoreItem xmlns:ds="http://schemas.openxmlformats.org/officeDocument/2006/customXml" ds:itemID="{C55E2703-D94E-44F2-9AE9-4FDE7ADF350B}"/>
</file>

<file path=customXml/itemProps5.xml><?xml version="1.0" encoding="utf-8"?>
<ds:datastoreItem xmlns:ds="http://schemas.openxmlformats.org/officeDocument/2006/customXml" ds:itemID="{4F2183EC-0B8A-4B4E-8B89-AAC118F87874}"/>
</file>

<file path=docProps/app.xml><?xml version="1.0" encoding="utf-8"?>
<Properties xmlns="http://schemas.openxmlformats.org/officeDocument/2006/extended-properties" xmlns:vt="http://schemas.openxmlformats.org/officeDocument/2006/docPropsVTypes">
  <Template>Normal</Template>
  <TotalTime>53</TotalTime>
  <Pages>39</Pages>
  <Words>12082</Words>
  <Characters>68873</Characters>
  <Application>Microsoft Office Word</Application>
  <DocSecurity>0</DocSecurity>
  <Lines>573</Lines>
  <Paragraphs>161</Paragraphs>
  <ScaleCrop>false</ScaleCrop>
  <HeadingPairs>
    <vt:vector size="2" baseType="variant">
      <vt:variant>
        <vt:lpstr>Názov</vt:lpstr>
      </vt:variant>
      <vt:variant>
        <vt:i4>1</vt:i4>
      </vt:variant>
    </vt:vector>
  </HeadingPairs>
  <TitlesOfParts>
    <vt:vector size="1" baseType="lpstr">
      <vt:lpstr/>
    </vt:vector>
  </TitlesOfParts>
  <Company>UVSR</Company>
  <LinksUpToDate>false</LinksUpToDate>
  <CharactersWithSpaces>80794</CharactersWithSpaces>
  <SharedDoc>false</SharedDoc>
  <HLinks>
    <vt:vector size="132" baseType="variant">
      <vt:variant>
        <vt:i4>1638452</vt:i4>
      </vt:variant>
      <vt:variant>
        <vt:i4>128</vt:i4>
      </vt:variant>
      <vt:variant>
        <vt:i4>0</vt:i4>
      </vt:variant>
      <vt:variant>
        <vt:i4>5</vt:i4>
      </vt:variant>
      <vt:variant>
        <vt:lpwstr/>
      </vt:variant>
      <vt:variant>
        <vt:lpwstr>_Toc456863001</vt:lpwstr>
      </vt:variant>
      <vt:variant>
        <vt:i4>1638452</vt:i4>
      </vt:variant>
      <vt:variant>
        <vt:i4>122</vt:i4>
      </vt:variant>
      <vt:variant>
        <vt:i4>0</vt:i4>
      </vt:variant>
      <vt:variant>
        <vt:i4>5</vt:i4>
      </vt:variant>
      <vt:variant>
        <vt:lpwstr/>
      </vt:variant>
      <vt:variant>
        <vt:lpwstr>_Toc456863000</vt:lpwstr>
      </vt:variant>
      <vt:variant>
        <vt:i4>1114173</vt:i4>
      </vt:variant>
      <vt:variant>
        <vt:i4>116</vt:i4>
      </vt:variant>
      <vt:variant>
        <vt:i4>0</vt:i4>
      </vt:variant>
      <vt:variant>
        <vt:i4>5</vt:i4>
      </vt:variant>
      <vt:variant>
        <vt:lpwstr/>
      </vt:variant>
      <vt:variant>
        <vt:lpwstr>_Toc456862999</vt:lpwstr>
      </vt:variant>
      <vt:variant>
        <vt:i4>1114173</vt:i4>
      </vt:variant>
      <vt:variant>
        <vt:i4>110</vt:i4>
      </vt:variant>
      <vt:variant>
        <vt:i4>0</vt:i4>
      </vt:variant>
      <vt:variant>
        <vt:i4>5</vt:i4>
      </vt:variant>
      <vt:variant>
        <vt:lpwstr/>
      </vt:variant>
      <vt:variant>
        <vt:lpwstr>_Toc456862998</vt:lpwstr>
      </vt:variant>
      <vt:variant>
        <vt:i4>1114173</vt:i4>
      </vt:variant>
      <vt:variant>
        <vt:i4>104</vt:i4>
      </vt:variant>
      <vt:variant>
        <vt:i4>0</vt:i4>
      </vt:variant>
      <vt:variant>
        <vt:i4>5</vt:i4>
      </vt:variant>
      <vt:variant>
        <vt:lpwstr/>
      </vt:variant>
      <vt:variant>
        <vt:lpwstr>_Toc456862997</vt:lpwstr>
      </vt:variant>
      <vt:variant>
        <vt:i4>1114173</vt:i4>
      </vt:variant>
      <vt:variant>
        <vt:i4>98</vt:i4>
      </vt:variant>
      <vt:variant>
        <vt:i4>0</vt:i4>
      </vt:variant>
      <vt:variant>
        <vt:i4>5</vt:i4>
      </vt:variant>
      <vt:variant>
        <vt:lpwstr/>
      </vt:variant>
      <vt:variant>
        <vt:lpwstr>_Toc456862996</vt:lpwstr>
      </vt:variant>
      <vt:variant>
        <vt:i4>1114173</vt:i4>
      </vt:variant>
      <vt:variant>
        <vt:i4>92</vt:i4>
      </vt:variant>
      <vt:variant>
        <vt:i4>0</vt:i4>
      </vt:variant>
      <vt:variant>
        <vt:i4>5</vt:i4>
      </vt:variant>
      <vt:variant>
        <vt:lpwstr/>
      </vt:variant>
      <vt:variant>
        <vt:lpwstr>_Toc456862995</vt:lpwstr>
      </vt:variant>
      <vt:variant>
        <vt:i4>1114173</vt:i4>
      </vt:variant>
      <vt:variant>
        <vt:i4>86</vt:i4>
      </vt:variant>
      <vt:variant>
        <vt:i4>0</vt:i4>
      </vt:variant>
      <vt:variant>
        <vt:i4>5</vt:i4>
      </vt:variant>
      <vt:variant>
        <vt:lpwstr/>
      </vt:variant>
      <vt:variant>
        <vt:lpwstr>_Toc456862994</vt:lpwstr>
      </vt:variant>
      <vt:variant>
        <vt:i4>1114173</vt:i4>
      </vt:variant>
      <vt:variant>
        <vt:i4>80</vt:i4>
      </vt:variant>
      <vt:variant>
        <vt:i4>0</vt:i4>
      </vt:variant>
      <vt:variant>
        <vt:i4>5</vt:i4>
      </vt:variant>
      <vt:variant>
        <vt:lpwstr/>
      </vt:variant>
      <vt:variant>
        <vt:lpwstr>_Toc456862993</vt:lpwstr>
      </vt:variant>
      <vt:variant>
        <vt:i4>1114173</vt:i4>
      </vt:variant>
      <vt:variant>
        <vt:i4>74</vt:i4>
      </vt:variant>
      <vt:variant>
        <vt:i4>0</vt:i4>
      </vt:variant>
      <vt:variant>
        <vt:i4>5</vt:i4>
      </vt:variant>
      <vt:variant>
        <vt:lpwstr/>
      </vt:variant>
      <vt:variant>
        <vt:lpwstr>_Toc456862992</vt:lpwstr>
      </vt:variant>
      <vt:variant>
        <vt:i4>1114173</vt:i4>
      </vt:variant>
      <vt:variant>
        <vt:i4>68</vt:i4>
      </vt:variant>
      <vt:variant>
        <vt:i4>0</vt:i4>
      </vt:variant>
      <vt:variant>
        <vt:i4>5</vt:i4>
      </vt:variant>
      <vt:variant>
        <vt:lpwstr/>
      </vt:variant>
      <vt:variant>
        <vt:lpwstr>_Toc456862991</vt:lpwstr>
      </vt:variant>
      <vt:variant>
        <vt:i4>1114173</vt:i4>
      </vt:variant>
      <vt:variant>
        <vt:i4>62</vt:i4>
      </vt:variant>
      <vt:variant>
        <vt:i4>0</vt:i4>
      </vt:variant>
      <vt:variant>
        <vt:i4>5</vt:i4>
      </vt:variant>
      <vt:variant>
        <vt:lpwstr/>
      </vt:variant>
      <vt:variant>
        <vt:lpwstr>_Toc456862990</vt:lpwstr>
      </vt:variant>
      <vt:variant>
        <vt:i4>1048637</vt:i4>
      </vt:variant>
      <vt:variant>
        <vt:i4>56</vt:i4>
      </vt:variant>
      <vt:variant>
        <vt:i4>0</vt:i4>
      </vt:variant>
      <vt:variant>
        <vt:i4>5</vt:i4>
      </vt:variant>
      <vt:variant>
        <vt:lpwstr/>
      </vt:variant>
      <vt:variant>
        <vt:lpwstr>_Toc456862989</vt:lpwstr>
      </vt:variant>
      <vt:variant>
        <vt:i4>1048637</vt:i4>
      </vt:variant>
      <vt:variant>
        <vt:i4>50</vt:i4>
      </vt:variant>
      <vt:variant>
        <vt:i4>0</vt:i4>
      </vt:variant>
      <vt:variant>
        <vt:i4>5</vt:i4>
      </vt:variant>
      <vt:variant>
        <vt:lpwstr/>
      </vt:variant>
      <vt:variant>
        <vt:lpwstr>_Toc456862988</vt:lpwstr>
      </vt:variant>
      <vt:variant>
        <vt:i4>1048637</vt:i4>
      </vt:variant>
      <vt:variant>
        <vt:i4>44</vt:i4>
      </vt:variant>
      <vt:variant>
        <vt:i4>0</vt:i4>
      </vt:variant>
      <vt:variant>
        <vt:i4>5</vt:i4>
      </vt:variant>
      <vt:variant>
        <vt:lpwstr/>
      </vt:variant>
      <vt:variant>
        <vt:lpwstr>_Toc456862987</vt:lpwstr>
      </vt:variant>
      <vt:variant>
        <vt:i4>1048637</vt:i4>
      </vt:variant>
      <vt:variant>
        <vt:i4>38</vt:i4>
      </vt:variant>
      <vt:variant>
        <vt:i4>0</vt:i4>
      </vt:variant>
      <vt:variant>
        <vt:i4>5</vt:i4>
      </vt:variant>
      <vt:variant>
        <vt:lpwstr/>
      </vt:variant>
      <vt:variant>
        <vt:lpwstr>_Toc456862986</vt:lpwstr>
      </vt:variant>
      <vt:variant>
        <vt:i4>1048637</vt:i4>
      </vt:variant>
      <vt:variant>
        <vt:i4>32</vt:i4>
      </vt:variant>
      <vt:variant>
        <vt:i4>0</vt:i4>
      </vt:variant>
      <vt:variant>
        <vt:i4>5</vt:i4>
      </vt:variant>
      <vt:variant>
        <vt:lpwstr/>
      </vt:variant>
      <vt:variant>
        <vt:lpwstr>_Toc456862985</vt:lpwstr>
      </vt:variant>
      <vt:variant>
        <vt:i4>1048637</vt:i4>
      </vt:variant>
      <vt:variant>
        <vt:i4>26</vt:i4>
      </vt:variant>
      <vt:variant>
        <vt:i4>0</vt:i4>
      </vt:variant>
      <vt:variant>
        <vt:i4>5</vt:i4>
      </vt:variant>
      <vt:variant>
        <vt:lpwstr/>
      </vt:variant>
      <vt:variant>
        <vt:lpwstr>_Toc456862984</vt:lpwstr>
      </vt:variant>
      <vt:variant>
        <vt:i4>1048637</vt:i4>
      </vt:variant>
      <vt:variant>
        <vt:i4>20</vt:i4>
      </vt:variant>
      <vt:variant>
        <vt:i4>0</vt:i4>
      </vt:variant>
      <vt:variant>
        <vt:i4>5</vt:i4>
      </vt:variant>
      <vt:variant>
        <vt:lpwstr/>
      </vt:variant>
      <vt:variant>
        <vt:lpwstr>_Toc456862983</vt:lpwstr>
      </vt:variant>
      <vt:variant>
        <vt:i4>1048637</vt:i4>
      </vt:variant>
      <vt:variant>
        <vt:i4>14</vt:i4>
      </vt:variant>
      <vt:variant>
        <vt:i4>0</vt:i4>
      </vt:variant>
      <vt:variant>
        <vt:i4>5</vt:i4>
      </vt:variant>
      <vt:variant>
        <vt:lpwstr/>
      </vt:variant>
      <vt:variant>
        <vt:lpwstr>_Toc456862982</vt:lpwstr>
      </vt:variant>
      <vt:variant>
        <vt:i4>1048637</vt:i4>
      </vt:variant>
      <vt:variant>
        <vt:i4>8</vt:i4>
      </vt:variant>
      <vt:variant>
        <vt:i4>0</vt:i4>
      </vt:variant>
      <vt:variant>
        <vt:i4>5</vt:i4>
      </vt:variant>
      <vt:variant>
        <vt:lpwstr/>
      </vt:variant>
      <vt:variant>
        <vt:lpwstr>_Toc456862981</vt:lpwstr>
      </vt:variant>
      <vt:variant>
        <vt:i4>1048637</vt:i4>
      </vt:variant>
      <vt:variant>
        <vt:i4>2</vt:i4>
      </vt:variant>
      <vt:variant>
        <vt:i4>0</vt:i4>
      </vt:variant>
      <vt:variant>
        <vt:i4>5</vt:i4>
      </vt:variant>
      <vt:variant>
        <vt:lpwstr/>
      </vt:variant>
      <vt:variant>
        <vt:lpwstr>_Toc456862980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hronco</dc:creator>
  <cp:lastModifiedBy>Cacany Lubomir</cp:lastModifiedBy>
  <cp:revision>5</cp:revision>
  <cp:lastPrinted>2017-08-25T07:11:00Z</cp:lastPrinted>
  <dcterms:created xsi:type="dcterms:W3CDTF">2017-08-23T14:28:00Z</dcterms:created>
  <dcterms:modified xsi:type="dcterms:W3CDTF">2017-08-25T07:33:00Z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d05aeb4b-898c-470c-980b-ec1bb764b0b0</vt:lpwstr>
  </property>
</Properties>
</file>